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8"/>
        <w:gridCol w:w="6"/>
        <w:gridCol w:w="10"/>
        <w:gridCol w:w="7851"/>
        <w:gridCol w:w="2392"/>
        <w:gridCol w:w="15"/>
        <w:gridCol w:w="136"/>
      </w:tblGrid>
      <w:tr w:rsidR="00B05BF5" w:rsidRPr="00B05BF5" w:rsidTr="00B05B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/>
        </w:trPr>
        <w:tc>
          <w:tcPr>
            <w:tcW w:w="178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2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10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7851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2407" w:type="dxa"/>
            <w:gridSpan w:val="2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407"/>
            </w:tblGrid>
            <w:tr w:rsidR="00000000" w:rsidRPr="00B05BF5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367"/>
              </w:trPr>
              <w:tc>
                <w:tcPr>
                  <w:tcW w:w="240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000000" w:rsidRPr="00B05BF5" w:rsidRDefault="00A943D3">
                  <w:pPr>
                    <w:jc w:val="right"/>
                    <w:rPr>
                      <w:lang w:val="ru-RU"/>
                    </w:rPr>
                  </w:pP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Утв.приказом Минфина РФ от 28 декабря 2010 г. № 191н</w:t>
                  </w:r>
                </w:p>
              </w:tc>
            </w:tr>
          </w:tbl>
          <w:p w:rsidR="00000000" w:rsidRPr="00B05BF5" w:rsidRDefault="00A943D3">
            <w:pPr>
              <w:rPr>
                <w:lang w:val="ru-RU"/>
              </w:rPr>
            </w:pPr>
          </w:p>
        </w:tc>
        <w:tc>
          <w:tcPr>
            <w:tcW w:w="136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</w:tr>
      <w:tr w:rsidR="00000000" w:rsidRPr="00B05B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"/>
        </w:trPr>
        <w:tc>
          <w:tcPr>
            <w:tcW w:w="178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2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10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7851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2392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15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136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</w:tr>
      <w:tr w:rsidR="00B05BF5" w:rsidTr="00B05B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8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10270" w:type="dxa"/>
            <w:gridSpan w:val="5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466"/>
              <w:gridCol w:w="1056"/>
              <w:gridCol w:w="3182"/>
              <w:gridCol w:w="1382"/>
              <w:gridCol w:w="1186"/>
            </w:tblGrid>
            <w:tr w:rsidR="00B05BF5" w:rsidRPr="00B05BF5" w:rsidTr="00B05BF5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38"/>
              </w:trPr>
              <w:tc>
                <w:tcPr>
                  <w:tcW w:w="10272" w:type="dxa"/>
                  <w:gridSpan w:val="5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191"/>
                  </w:tblGrid>
                  <w:tr w:rsidR="00000000" w:rsidRPr="00B05BF5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437"/>
                    </w:trPr>
                    <w:tc>
                      <w:tcPr>
                        <w:tcW w:w="10191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Pr="00B05BF5" w:rsidRDefault="00A943D3">
                        <w:pPr>
                          <w:jc w:val="center"/>
                          <w:rPr>
                            <w:lang w:val="ru-RU"/>
                          </w:rPr>
                        </w:pPr>
                        <w:r w:rsidRPr="00B05BF5">
                          <w:rPr>
                            <w:rFonts w:ascii="Arial" w:eastAsia="Arial" w:hAnsi="Arial"/>
                            <w:b/>
                            <w:color w:val="000000"/>
                            <w:lang w:val="ru-RU"/>
                          </w:rPr>
                          <w:t>ПОЯСНИТЕЛЬНАЯ ЗАПИСКА</w:t>
                        </w:r>
                        <w:r w:rsidRPr="00B05BF5">
                          <w:rPr>
                            <w:rFonts w:ascii="Arial" w:eastAsia="Arial" w:hAnsi="Arial"/>
                            <w:b/>
                            <w:color w:val="000000"/>
                            <w:lang w:val="ru-RU"/>
                          </w:rPr>
                          <w:br/>
                          <w:t>к отчету об исполнении консолидированного бюджета</w:t>
                        </w:r>
                      </w:p>
                    </w:tc>
                  </w:tr>
                </w:tbl>
                <w:p w:rsidR="00000000" w:rsidRPr="00B05BF5" w:rsidRDefault="00A943D3">
                  <w:pPr>
                    <w:rPr>
                      <w:lang w:val="ru-RU"/>
                    </w:rPr>
                  </w:pPr>
                </w:p>
              </w:tc>
            </w:tr>
            <w:tr w:rsidR="00B05BF5" w:rsidTr="00B05BF5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7"/>
              </w:trPr>
              <w:tc>
                <w:tcPr>
                  <w:tcW w:w="10272" w:type="dxa"/>
                  <w:gridSpan w:val="5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19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87"/>
                    </w:trPr>
                    <w:tc>
                      <w:tcPr>
                        <w:tcW w:w="10191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A943D3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на 01 января 2019 г.</w:t>
                        </w:r>
                      </w:p>
                    </w:tc>
                  </w:tr>
                </w:tbl>
                <w:p w:rsidR="00000000" w:rsidRDefault="00A943D3"/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7"/>
              </w:trPr>
              <w:tc>
                <w:tcPr>
                  <w:tcW w:w="3466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000000" w:rsidRDefault="00A943D3"/>
              </w:tc>
              <w:tc>
                <w:tcPr>
                  <w:tcW w:w="1056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000000" w:rsidRDefault="00A943D3"/>
              </w:tc>
              <w:tc>
                <w:tcPr>
                  <w:tcW w:w="3182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10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87"/>
                    </w:trPr>
                    <w:tc>
                      <w:tcPr>
                        <w:tcW w:w="3101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00000" w:rsidRDefault="00A943D3">
                        <w:pPr>
                          <w:jc w:val="right"/>
                        </w:pPr>
                        <w:r>
                          <w:rPr>
                            <w:rFonts w:ascii="Arial" w:eastAsia="Arial" w:hAnsi="Arial"/>
                            <w:b/>
                            <w:color w:val="FFFFFF"/>
                          </w:rPr>
                          <w:t>01.01.2018 0:00:00</w:t>
                        </w:r>
                      </w:p>
                    </w:tc>
                  </w:tr>
                </w:tbl>
                <w:p w:rsidR="00000000" w:rsidRDefault="00A943D3"/>
              </w:tc>
              <w:tc>
                <w:tcPr>
                  <w:tcW w:w="1382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000000" w:rsidRDefault="00A943D3"/>
              </w:tc>
              <w:tc>
                <w:tcPr>
                  <w:tcW w:w="118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105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87"/>
                    </w:trPr>
                    <w:tc>
                      <w:tcPr>
                        <w:tcW w:w="110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00000" w:rsidRDefault="00A943D3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>КОДЫ</w:t>
                        </w:r>
                      </w:p>
                    </w:tc>
                  </w:tr>
                </w:tbl>
                <w:p w:rsidR="00000000" w:rsidRDefault="00A943D3"/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24"/>
              </w:trPr>
              <w:tc>
                <w:tcPr>
                  <w:tcW w:w="3466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385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23"/>
                    </w:trPr>
                    <w:tc>
                      <w:tcPr>
                        <w:tcW w:w="338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00000" w:rsidRDefault="00A943D3">
                        <w:r>
                          <w:rPr>
                            <w:rFonts w:ascii="Arial" w:eastAsia="Arial" w:hAnsi="Arial"/>
                            <w:b/>
                            <w:color w:val="FFFFFF"/>
                          </w:rPr>
                          <w:t>042</w:t>
                        </w:r>
                      </w:p>
                    </w:tc>
                  </w:tr>
                </w:tbl>
                <w:p w:rsidR="00000000" w:rsidRDefault="00A943D3"/>
              </w:tc>
              <w:tc>
                <w:tcPr>
                  <w:tcW w:w="1056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000000" w:rsidRDefault="00A943D3"/>
              </w:tc>
              <w:tc>
                <w:tcPr>
                  <w:tcW w:w="3182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000000" w:rsidRDefault="00A943D3"/>
              </w:tc>
              <w:tc>
                <w:tcPr>
                  <w:tcW w:w="1382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30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23"/>
                    </w:trPr>
                    <w:tc>
                      <w:tcPr>
                        <w:tcW w:w="1301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00000" w:rsidRDefault="00A943D3">
                        <w:pPr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Форма по ОКУД</w:t>
                        </w:r>
                      </w:p>
                    </w:tc>
                  </w:tr>
                </w:tbl>
                <w:p w:rsidR="00000000" w:rsidRDefault="00A943D3"/>
              </w:tc>
              <w:tc>
                <w:tcPr>
                  <w:tcW w:w="1186" w:type="dxa"/>
                  <w:tcBorders>
                    <w:top w:val="single" w:sz="16" w:space="0" w:color="000000"/>
                    <w:left w:val="single" w:sz="16" w:space="0" w:color="000000"/>
                    <w:bottom w:val="single" w:sz="8" w:space="0" w:color="000000"/>
                    <w:right w:val="single" w:sz="1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105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23"/>
                    </w:trPr>
                    <w:tc>
                      <w:tcPr>
                        <w:tcW w:w="110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00000" w:rsidRDefault="00A943D3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</w:rPr>
                          <w:t>0503360</w:t>
                        </w:r>
                      </w:p>
                    </w:tc>
                  </w:tr>
                </w:tbl>
                <w:p w:rsidR="00000000" w:rsidRDefault="00A943D3"/>
              </w:tc>
            </w:tr>
            <w:tr w:rsidR="00B05BF5" w:rsidTr="00B05BF5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48"/>
              </w:trPr>
              <w:tc>
                <w:tcPr>
                  <w:tcW w:w="4522" w:type="dxa"/>
                  <w:gridSpan w:val="2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000000" w:rsidRDefault="00A943D3"/>
              </w:tc>
              <w:tc>
                <w:tcPr>
                  <w:tcW w:w="3182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000000" w:rsidRDefault="00A943D3"/>
              </w:tc>
              <w:tc>
                <w:tcPr>
                  <w:tcW w:w="1382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30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47"/>
                    </w:trPr>
                    <w:tc>
                      <w:tcPr>
                        <w:tcW w:w="1301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00000" w:rsidRDefault="00A943D3">
                        <w:pPr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Дата</w:t>
                        </w:r>
                      </w:p>
                    </w:tc>
                  </w:tr>
                </w:tbl>
                <w:p w:rsidR="00000000" w:rsidRDefault="00A943D3"/>
              </w:tc>
              <w:tc>
                <w:tcPr>
                  <w:tcW w:w="1186" w:type="dxa"/>
                  <w:tcBorders>
                    <w:top w:val="single" w:sz="8" w:space="0" w:color="000000"/>
                    <w:left w:val="single" w:sz="16" w:space="0" w:color="000000"/>
                    <w:bottom w:val="single" w:sz="8" w:space="0" w:color="000000"/>
                    <w:right w:val="single" w:sz="1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105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47"/>
                    </w:trPr>
                    <w:tc>
                      <w:tcPr>
                        <w:tcW w:w="110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00000" w:rsidRDefault="00A943D3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</w:rPr>
                          <w:t>0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</w:rPr>
                          <w:t>1.01.2019</w:t>
                        </w:r>
                      </w:p>
                    </w:tc>
                  </w:tr>
                </w:tbl>
                <w:p w:rsidR="00000000" w:rsidRDefault="00A943D3"/>
              </w:tc>
            </w:tr>
            <w:tr w:rsidR="00B05BF5" w:rsidTr="00B05BF5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16"/>
              </w:trPr>
              <w:tc>
                <w:tcPr>
                  <w:tcW w:w="4522" w:type="dxa"/>
                  <w:gridSpan w:val="2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000000" w:rsidRDefault="00A943D3">
                  <w:bookmarkStart w:id="0" w:name="_GoBack"/>
                  <w:bookmarkEnd w:id="0"/>
                </w:p>
              </w:tc>
              <w:tc>
                <w:tcPr>
                  <w:tcW w:w="3182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000000" w:rsidRDefault="00A943D3"/>
              </w:tc>
              <w:tc>
                <w:tcPr>
                  <w:tcW w:w="1382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30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15"/>
                    </w:trPr>
                    <w:tc>
                      <w:tcPr>
                        <w:tcW w:w="1301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00000" w:rsidRDefault="00A943D3">
                        <w:pPr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по ОКПО</w:t>
                        </w:r>
                      </w:p>
                    </w:tc>
                  </w:tr>
                </w:tbl>
                <w:p w:rsidR="00000000" w:rsidRDefault="00A943D3"/>
              </w:tc>
              <w:tc>
                <w:tcPr>
                  <w:tcW w:w="1186" w:type="dxa"/>
                  <w:tcBorders>
                    <w:top w:val="single" w:sz="8" w:space="0" w:color="000000"/>
                    <w:left w:val="single" w:sz="16" w:space="0" w:color="000000"/>
                    <w:bottom w:val="single" w:sz="8" w:space="0" w:color="000000"/>
                    <w:right w:val="single" w:sz="1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000000" w:rsidRDefault="00A943D3"/>
              </w:tc>
            </w:tr>
            <w:tr w:rsidR="00B05BF5" w:rsidTr="00B05BF5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48"/>
              </w:trPr>
              <w:tc>
                <w:tcPr>
                  <w:tcW w:w="3466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385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47"/>
                    </w:trPr>
                    <w:tc>
                      <w:tcPr>
                        <w:tcW w:w="338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00000" w:rsidRDefault="00A943D3"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Наименование финансового органа</w:t>
                        </w:r>
                      </w:p>
                    </w:tc>
                  </w:tr>
                </w:tbl>
                <w:p w:rsidR="00000000" w:rsidRDefault="00A943D3"/>
              </w:tc>
              <w:tc>
                <w:tcPr>
                  <w:tcW w:w="4238" w:type="dxa"/>
                  <w:gridSpan w:val="2"/>
                  <w:tcBorders>
                    <w:bottom w:val="single" w:sz="1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000000" w:rsidRPr="00B05BF5" w:rsidRDefault="00A943D3">
                  <w:pPr>
                    <w:rPr>
                      <w:lang w:val="ru-RU"/>
                    </w:rPr>
                  </w:pPr>
                  <w:r w:rsidRPr="00B05BF5">
                    <w:rPr>
                      <w:rFonts w:ascii="Arial" w:eastAsia="Arial" w:hAnsi="Arial"/>
                      <w:b/>
                      <w:color w:val="000000"/>
                      <w:sz w:val="16"/>
                      <w:lang w:val="ru-RU"/>
                    </w:rPr>
                    <w:t>Управление финансов администрации Тонкинского муниципального района</w:t>
                  </w:r>
                </w:p>
              </w:tc>
              <w:tc>
                <w:tcPr>
                  <w:tcW w:w="1382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30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47"/>
                    </w:trPr>
                    <w:tc>
                      <w:tcPr>
                        <w:tcW w:w="1301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00000" w:rsidRDefault="00A943D3">
                        <w:pPr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Глава по БК</w:t>
                        </w:r>
                      </w:p>
                    </w:tc>
                  </w:tr>
                </w:tbl>
                <w:p w:rsidR="00000000" w:rsidRDefault="00A943D3"/>
              </w:tc>
              <w:tc>
                <w:tcPr>
                  <w:tcW w:w="1186" w:type="dxa"/>
                  <w:tcBorders>
                    <w:top w:val="single" w:sz="8" w:space="0" w:color="000000"/>
                    <w:left w:val="single" w:sz="16" w:space="0" w:color="000000"/>
                    <w:bottom w:val="single" w:sz="8" w:space="0" w:color="000000"/>
                    <w:right w:val="single" w:sz="1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000000" w:rsidRDefault="00A943D3"/>
              </w:tc>
            </w:tr>
            <w:tr w:rsidR="00B05BF5" w:rsidTr="00B05BF5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42"/>
              </w:trPr>
              <w:tc>
                <w:tcPr>
                  <w:tcW w:w="3466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385"/>
                  </w:tblGrid>
                  <w:tr w:rsidR="00000000" w:rsidRPr="00B05BF5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341"/>
                    </w:trPr>
                    <w:tc>
                      <w:tcPr>
                        <w:tcW w:w="338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00000" w:rsidRPr="00B05BF5" w:rsidRDefault="00A943D3">
                        <w:pPr>
                          <w:rPr>
                            <w:lang w:val="ru-RU"/>
                          </w:rPr>
                        </w:pPr>
                        <w:r w:rsidRPr="00B05BF5">
                          <w:rPr>
                            <w:rFonts w:ascii="Arial" w:eastAsia="Arial" w:hAnsi="Arial"/>
                            <w:color w:val="000000"/>
                            <w:sz w:val="16"/>
                            <w:lang w:val="ru-RU"/>
                          </w:rPr>
                          <w:t xml:space="preserve">Наименование бюджета (публично- правового образования) </w:t>
                        </w:r>
                      </w:p>
                    </w:tc>
                  </w:tr>
                </w:tbl>
                <w:p w:rsidR="00000000" w:rsidRPr="00B05BF5" w:rsidRDefault="00A943D3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4238" w:type="dxa"/>
                  <w:gridSpan w:val="2"/>
                  <w:tcBorders>
                    <w:bottom w:val="single" w:sz="1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000000" w:rsidRPr="00B05BF5" w:rsidRDefault="00A943D3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1382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30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341"/>
                    </w:trPr>
                    <w:tc>
                      <w:tcPr>
                        <w:tcW w:w="1301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00000" w:rsidRDefault="00A943D3">
                        <w:pPr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по ОКТМО</w:t>
                        </w:r>
                      </w:p>
                    </w:tc>
                  </w:tr>
                </w:tbl>
                <w:p w:rsidR="00000000" w:rsidRDefault="00A943D3"/>
              </w:tc>
              <w:tc>
                <w:tcPr>
                  <w:tcW w:w="1186" w:type="dxa"/>
                  <w:tcBorders>
                    <w:top w:val="single" w:sz="8" w:space="0" w:color="000000"/>
                    <w:left w:val="single" w:sz="16" w:space="0" w:color="000000"/>
                    <w:bottom w:val="single" w:sz="8" w:space="0" w:color="000000"/>
                    <w:right w:val="single" w:sz="1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105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341"/>
                    </w:trPr>
                    <w:tc>
                      <w:tcPr>
                        <w:tcW w:w="110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00000" w:rsidRDefault="00A943D3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</w:rPr>
                          <w:t>22652000</w:t>
                        </w:r>
                      </w:p>
                    </w:tc>
                  </w:tr>
                </w:tbl>
                <w:p w:rsidR="00000000" w:rsidRDefault="00A943D3"/>
              </w:tc>
            </w:tr>
            <w:tr w:rsidR="00B05BF5" w:rsidTr="00B05BF5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02"/>
              </w:trPr>
              <w:tc>
                <w:tcPr>
                  <w:tcW w:w="3466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385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01"/>
                    </w:trPr>
                    <w:tc>
                      <w:tcPr>
                        <w:tcW w:w="338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00000" w:rsidRDefault="00A943D3"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Периодичность: месячная</w:t>
                        </w:r>
                      </w:p>
                    </w:tc>
                  </w:tr>
                </w:tbl>
                <w:p w:rsidR="00000000" w:rsidRDefault="00A943D3"/>
              </w:tc>
              <w:tc>
                <w:tcPr>
                  <w:tcW w:w="4238" w:type="dxa"/>
                  <w:gridSpan w:val="2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000000" w:rsidRDefault="00A943D3"/>
              </w:tc>
              <w:tc>
                <w:tcPr>
                  <w:tcW w:w="1382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000000" w:rsidRDefault="00A943D3"/>
              </w:tc>
              <w:tc>
                <w:tcPr>
                  <w:tcW w:w="1186" w:type="dxa"/>
                  <w:tcBorders>
                    <w:top w:val="single" w:sz="8" w:space="0" w:color="000000"/>
                    <w:left w:val="single" w:sz="16" w:space="0" w:color="000000"/>
                    <w:bottom w:val="single" w:sz="8" w:space="0" w:color="000000"/>
                    <w:right w:val="single" w:sz="1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000000" w:rsidRDefault="00A943D3"/>
              </w:tc>
            </w:tr>
            <w:tr w:rsidR="00B05BF5" w:rsidTr="00B05BF5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54"/>
              </w:trPr>
              <w:tc>
                <w:tcPr>
                  <w:tcW w:w="3466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385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53"/>
                    </w:trPr>
                    <w:tc>
                      <w:tcPr>
                        <w:tcW w:w="338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00000" w:rsidRDefault="00A943D3"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Единица измерения: руб.</w:t>
                        </w:r>
                      </w:p>
                    </w:tc>
                  </w:tr>
                </w:tbl>
                <w:p w:rsidR="00000000" w:rsidRDefault="00A943D3"/>
              </w:tc>
              <w:tc>
                <w:tcPr>
                  <w:tcW w:w="4238" w:type="dxa"/>
                  <w:gridSpan w:val="2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000000" w:rsidRDefault="00A943D3"/>
              </w:tc>
              <w:tc>
                <w:tcPr>
                  <w:tcW w:w="1382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30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53"/>
                    </w:trPr>
                    <w:tc>
                      <w:tcPr>
                        <w:tcW w:w="1301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00000" w:rsidRDefault="00A943D3">
                        <w:pPr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по ОКЕИ</w:t>
                        </w:r>
                      </w:p>
                    </w:tc>
                  </w:tr>
                </w:tbl>
                <w:p w:rsidR="00000000" w:rsidRDefault="00A943D3"/>
              </w:tc>
              <w:tc>
                <w:tcPr>
                  <w:tcW w:w="1186" w:type="dxa"/>
                  <w:tcBorders>
                    <w:top w:val="single" w:sz="8" w:space="0" w:color="000000"/>
                    <w:left w:val="single" w:sz="16" w:space="0" w:color="000000"/>
                    <w:bottom w:val="single" w:sz="16" w:space="0" w:color="000000"/>
                    <w:right w:val="single" w:sz="1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105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53"/>
                    </w:trPr>
                    <w:tc>
                      <w:tcPr>
                        <w:tcW w:w="110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00000" w:rsidRDefault="00A943D3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</w:rPr>
                          <w:t>383</w:t>
                        </w:r>
                      </w:p>
                    </w:tc>
                  </w:tr>
                </w:tbl>
                <w:p w:rsidR="00000000" w:rsidRDefault="00A943D3"/>
              </w:tc>
            </w:tr>
          </w:tbl>
          <w:p w:rsidR="00000000" w:rsidRDefault="00A943D3"/>
        </w:tc>
        <w:tc>
          <w:tcPr>
            <w:tcW w:w="136" w:type="dxa"/>
          </w:tcPr>
          <w:p w:rsidR="00000000" w:rsidRDefault="00A943D3">
            <w:pPr>
              <w:pStyle w:val="EmptyLayoutCell"/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178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2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10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7851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2392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15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136" w:type="dxa"/>
          </w:tcPr>
          <w:p w:rsidR="00000000" w:rsidRDefault="00A943D3">
            <w:pPr>
              <w:pStyle w:val="EmptyLayoutCell"/>
            </w:pPr>
          </w:p>
        </w:tc>
      </w:tr>
      <w:tr w:rsidR="00B05BF5" w:rsidRPr="00B05BF5" w:rsidTr="00B05B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/>
        </w:trPr>
        <w:tc>
          <w:tcPr>
            <w:tcW w:w="178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2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10253" w:type="dxa"/>
            <w:gridSpan w:val="3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253"/>
            </w:tblGrid>
            <w:tr w:rsidR="00000000" w:rsidRPr="00B05BF5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300"/>
              </w:trPr>
              <w:tc>
                <w:tcPr>
                  <w:tcW w:w="1025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000000" w:rsidRPr="00B05BF5" w:rsidRDefault="00A943D3">
                  <w:pPr>
                    <w:jc w:val="center"/>
                    <w:rPr>
                      <w:lang w:val="ru-RU"/>
                    </w:rPr>
                  </w:pPr>
                  <w:r w:rsidRPr="00B05BF5">
                    <w:rPr>
                      <w:rFonts w:ascii="Arial" w:eastAsia="Arial" w:hAnsi="Arial"/>
                      <w:b/>
                      <w:color w:val="000000"/>
                      <w:sz w:val="18"/>
                      <w:lang w:val="ru-RU"/>
                    </w:rPr>
                    <w:t>Раздел 1. Организационная структура субъекта бюджетной отчетности</w:t>
                  </w:r>
                </w:p>
              </w:tc>
            </w:tr>
          </w:tbl>
          <w:p w:rsidR="00000000" w:rsidRPr="00B05BF5" w:rsidRDefault="00A943D3">
            <w:pPr>
              <w:rPr>
                <w:lang w:val="ru-RU"/>
              </w:rPr>
            </w:pPr>
          </w:p>
        </w:tc>
        <w:tc>
          <w:tcPr>
            <w:tcW w:w="15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136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</w:tr>
      <w:tr w:rsidR="00000000" w:rsidRPr="00B05B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"/>
        </w:trPr>
        <w:tc>
          <w:tcPr>
            <w:tcW w:w="178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2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10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7851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2392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15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136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</w:tr>
      <w:tr w:rsidR="00B05BF5" w:rsidRPr="00B05BF5" w:rsidTr="00B05B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8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2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10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10258" w:type="dxa"/>
            <w:gridSpan w:val="3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238"/>
            </w:tblGrid>
            <w:tr w:rsidR="00000000" w:rsidRPr="00B05BF5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026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000000" w:rsidRPr="00B05BF5" w:rsidRDefault="00A943D3">
                  <w:pPr>
                    <w:rPr>
                      <w:lang w:val="ru-RU"/>
                    </w:rPr>
                  </w:pP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1. Организационная структура субъекта бюджетной отчетности.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1.1. Сведения об основных направлениях деят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ельности.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Управление финансов Тонкинского муниципального района Нижегородской области является самостоятельным структурным подразделением администрации Тонкинского муниципального района, органом, организующим исполнение бюджета Тонкинского муниципального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района; обладает статусом финансового органа, обеспечивает формирование и реализацию единой бюджетно-финансовой политики Тонкинского муниципального района, составление проекта бюджета Тонкинского муниципального района и организацию исполнения бюджета Тонки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нского муниципального района на основе принципа единства кассы, исполнительно-распорядительные функции по управлению финансами Тонкинского муниципального района и координацию деятельности в сфере бюджетных правоотношений органов местного самоуправления Тон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кинского муниципального района в соответствии с Положением  об Управлении финансов администрации Тонкинского муниципального района Нижегородской области утвержденным решением Земского собрания Тонкинского района  от 26 декабря 2007 г.   № 193.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В соответст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вии с заключенными соглашениями о передаче полномочий  на Управление финансов администрации Тонкинского муниципального района переданы полномочия по формированию, исполнению бюджетов поселений и контроль за их исполнением.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На 01.01.2018 года  в районе фун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кционировало 23 муниципальных учреждений (1 казенное – МФЦ и 22 бюджетных учреждения).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На 01.01.2019 года-22 муниципальных учреждения (1 казенное – МФЦ и 21 бюджетных учреждений). В течении 2018 года произошла реорганизация в форме присоединения ДДТ к ДЮС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Ш и переименование ДЮСШ в МБУДО «Центр дополнительного образования».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По отраслям бюджетные учреждения распределяются следующим образом: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- по разделу 07 «Образование» 16 бюджетных учреждений: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6 школ,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6 детских садов,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МБУДО «Центр дополнительного образов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ания»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Хозяйственно-эксплуатационная служба системы образования;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Детская музыкальная школа,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Детская художественная школа.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по разделу 08 «Культура» 3 бюджетных учреждения: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Межпоселенческая централизованная клубная  система,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Народный краеведческий музей,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Межпоселенческая централизованная библиотечная система.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по разделу 11 «Спорт»  1 бюджетное учреждение ФСК «Кристалл».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по разделу 05 «ЖКХ» 1 бюджетное учреждение в поселковой администрации «ХЭС р.п. Тонкино».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</w:p>
              </w:tc>
            </w:tr>
            <w:tr w:rsidR="00000000" w:rsidRPr="00B05BF5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026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000000" w:rsidRPr="00B05BF5" w:rsidRDefault="00A943D3">
                  <w:pPr>
                    <w:rPr>
                      <w:lang w:val="ru-RU"/>
                    </w:rPr>
                  </w:pP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1.2. Сведения о количестве подведомствен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ных учреждений.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Информация о количественном составе получателей бюджетных средств представлена в формах 0503361 "Сведения о количестве получателей бюджетных средств" по показателям консолидированного бюджета Тонкинского муниципального района Нижегородской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 области.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В форме 0503361 "Сведения о количестве получателей бюджетных средств" по показателям консолидированного бюджета Тонкинского муниципального района  в сведениях об общем количестве получателей бюджетных средств (графы 4,6,11,13) указаны получатели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бюджетных средств, подведомственные главным распорядителям (распорядителям) бюджетных средств, в том числе главные распорядители (распорядители) бюджетных средств, как получатели бюджетных средств.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В сведениях о количестве органов власти, территориальных о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рганов (графы 4,11) указаны: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-органы власти Тонкинского района: Земское собрание Тонкинского муниципального района, отраслевые комитеты - комитет по управлению муниципальным имуществом и земельными ресурсами.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-органы местного самоуправления: администрации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 муниципальных образований, отделы администрации.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В сведениях о количестве бюджетных учреждений (графы 7,14) указаны учреждения, являющиеся получателями субсидий и подведомственные главному распорядителю (распорядителю) бюджетных средств.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В 2018 году обще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е количество получателей средств консолидированного бюджета Тонкинского муниципального района  изменилось  и на 01.01.2019 г составило 35 учреждений. Произошла реорганизация в форме присоединения ДДТ к ДЮСШ и переименование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lastRenderedPageBreak/>
                    <w:t>ДЮСШ в МБУДО «Центр дополнительн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ого образования» (постановление администрации Тонкинского муниципального района Нижегородской области от 06.07.2018 года № 289).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  Годовой отчет об исполнении бюджета Тонкинского муниципального района за 2018 год составлен на основании бюджетной отчётности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 главных администраторов доходов бюджета Тонкинского муниципального района, главных администраторов источников финансирования дефицита бюджета Тонкинского муниципального района и бюджетной отчётности 8 главных распорядителей средств районного бюджета Тонки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нского муниципального района.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Бюджетная отчётность включает отчётность  21 бюджетных учреждений (получателей субсидий),1 казенного учреждения.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Отчётность об исполнении бюджетов поселений составлена на основании бюджетной отчётности 5 муниципальных образова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ний Тонкинского муниципального района.  Всего принято, проверено и сведено 36  бухгалтерских отчета.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Управлением финансов Тонкинского муниципального района ведутся сводные реестры главных распорядителей, распорядителей и получателей средств бюджета, главн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ых администраторов и администраторов доходов бюджета, главных администраторов и администраторов источников финансирования дефицита бюджета в соответствии с нормативными правовыми актами, утверждёнными в установленном порядке.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</w:p>
              </w:tc>
            </w:tr>
          </w:tbl>
          <w:p w:rsidR="00000000" w:rsidRPr="00B05BF5" w:rsidRDefault="00A943D3">
            <w:pPr>
              <w:rPr>
                <w:lang w:val="ru-RU"/>
              </w:rPr>
            </w:pPr>
          </w:p>
        </w:tc>
        <w:tc>
          <w:tcPr>
            <w:tcW w:w="136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</w:tr>
    </w:tbl>
    <w:p w:rsidR="00000000" w:rsidRPr="00B05BF5" w:rsidRDefault="00A943D3">
      <w:pPr>
        <w:rPr>
          <w:lang w:val="ru-RU"/>
        </w:rPr>
      </w:pPr>
      <w:r w:rsidRPr="00B05BF5">
        <w:lastRenderedPageBreak/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2"/>
        <w:gridCol w:w="7"/>
        <w:gridCol w:w="10282"/>
        <w:gridCol w:w="123"/>
      </w:tblGrid>
      <w:tr w:rsidR="00000000" w:rsidRPr="00B05B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"/>
        </w:trPr>
        <w:tc>
          <w:tcPr>
            <w:tcW w:w="172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7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10282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123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</w:tr>
      <w:tr w:rsidR="00000000" w:rsidRPr="00B05B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/>
        </w:trPr>
        <w:tc>
          <w:tcPr>
            <w:tcW w:w="172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7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10282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282"/>
            </w:tblGrid>
            <w:tr w:rsidR="00000000" w:rsidRPr="00B05BF5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299"/>
              </w:trPr>
              <w:tc>
                <w:tcPr>
                  <w:tcW w:w="1028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000000" w:rsidRPr="00B05BF5" w:rsidRDefault="00A943D3">
                  <w:pPr>
                    <w:jc w:val="center"/>
                    <w:rPr>
                      <w:lang w:val="ru-RU"/>
                    </w:rPr>
                  </w:pPr>
                  <w:r w:rsidRPr="00B05BF5">
                    <w:rPr>
                      <w:rFonts w:ascii="Arial" w:eastAsia="Arial" w:hAnsi="Arial"/>
                      <w:b/>
                      <w:color w:val="000000"/>
                      <w:sz w:val="18"/>
                      <w:lang w:val="ru-RU"/>
                    </w:rPr>
                    <w:t>Раздел 2.  Рез</w:t>
                  </w:r>
                  <w:r w:rsidRPr="00B05BF5">
                    <w:rPr>
                      <w:rFonts w:ascii="Arial" w:eastAsia="Arial" w:hAnsi="Arial"/>
                      <w:b/>
                      <w:color w:val="000000"/>
                      <w:sz w:val="18"/>
                      <w:lang w:val="ru-RU"/>
                    </w:rPr>
                    <w:t>ультаты деятельности субъекта бюджетной отчетности</w:t>
                  </w:r>
                </w:p>
              </w:tc>
            </w:tr>
          </w:tbl>
          <w:p w:rsidR="00000000" w:rsidRPr="00B05BF5" w:rsidRDefault="00A943D3">
            <w:pPr>
              <w:rPr>
                <w:lang w:val="ru-RU"/>
              </w:rPr>
            </w:pPr>
          </w:p>
        </w:tc>
        <w:tc>
          <w:tcPr>
            <w:tcW w:w="123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</w:tr>
      <w:tr w:rsidR="00000000" w:rsidRPr="00B05B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"/>
        </w:trPr>
        <w:tc>
          <w:tcPr>
            <w:tcW w:w="172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7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10282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123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</w:tr>
      <w:tr w:rsidR="00B05BF5" w:rsidRPr="00B05BF5" w:rsidTr="00B05B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2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10289" w:type="dxa"/>
            <w:gridSpan w:val="2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269"/>
            </w:tblGrid>
            <w:tr w:rsidR="00000000" w:rsidRPr="00B05BF5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029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000000" w:rsidRPr="00B05BF5" w:rsidRDefault="00A943D3">
                  <w:pPr>
                    <w:rPr>
                      <w:lang w:val="ru-RU"/>
                    </w:rPr>
                  </w:pP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2. Результаты деятельности субъекта бюджетной отчетности.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Раздел Ассигнования 2018 год Исполнение Процент исполнения Структура расходов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Итого 475 985 548,26 471 426 699,38 99 100,00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программные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расходы (19 муниципальные программы) 425 317 834,44 421 312 154,71 99,1 89,4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непрограммные расходы 50 667 713,82 50 114 544,67 98,9 10,6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 В целом консолидированный бюджет Тонкинского муниципального района по расходам исполнен в сумме 471 426 699,38 руб.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, что составило 99% от уточненного плана.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Программные расходы составили 421312154,71 руб. или 89,4% от общих расходов. Финансировалось 14 районных программ и 5 программ сельских поселений.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Непрограммные расходы составили 50 114 544,67 руб. или 10,6% от о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бщих расходов.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Штатная численность  Управления финансов в течение 2018 года  составила 17 единиц, из них 16 единиц муниципальные служащие  Расходы на аппарат составили 10 942 тыс. руб.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</w:p>
              </w:tc>
            </w:tr>
            <w:tr w:rsidR="00000000" w:rsidRPr="00B05BF5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029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000000" w:rsidRPr="00B05BF5" w:rsidRDefault="00A943D3">
                  <w:pPr>
                    <w:rPr>
                      <w:lang w:val="ru-RU"/>
                    </w:rPr>
                  </w:pP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2.1. Сведения о мерах по повышению эффективности расходования бюджетн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ых средств.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В целях повышения эффективности расходования бюджетных средств приняты следующие нормативно правовые акты: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-Постановление Администрации «О  внедрении системы лимитирования расходов» от 10.08.2009 г № 146. В результате    более эффективно прово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дилось планирование  и расходование бюджетных средств и сократились неэффективные расходы бюджета;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Постановление администрации «Об утверждении Правил определения нормативных затрат на обеспечение функций органов местного самоуправления Тонкинского муници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пального района Нижегородской области, структурных подразделений администрации Тонкинского муниципального района Нижегородской области (включая подведомственные казенные учреждения). В результате    более эффективно проводилось планирование  и расходование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 бюджетных средств и сократились неэффективные расходы бюджета;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Постановление администрации от 26.12.2017 № 691 «Об утверждении Перечня муниципальных услуг и работ, оказываемых муниципальными учреждениями Тонкинского муниципального района Нижегородской о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бласти и подлежащих включению в региональный перечень». В результате муниципальные услуги, на включенные в общероссийский перечень, были включены в региональный перечень  муниципальных услуг.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-Постановление администрации  "Об утверждении Порядка оценки соо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тветствия качества фактически предоставляемых бюджетных услуг стандартам качества бюджетных услуг, предоставляемых за счет средств районного бюджета населению Тонкинского муниципального района, в том числе в рамках проведения социологических вопросов насел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ения" от 18.05.2009г  № 79. В результате: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создана система экономического мониторинга и контроля за деятельностью учреждений, предоставляющих бюджетные  услуги;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 - формирование информационной базы о качестве фактически предоставляемых бюджетных  услуг  в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 целях оптимизации бюджетных расходов;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 - составление прогноза развития (возможных перспектив развития) системы оказания бюджетных  услуг, соответствующих установленным стандартам качества бюджетных  услуг.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 В 2018 году учредителями бюджетных учреждении б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ыла проведена очередная ежегодная оценка качества муниципальных услуг. Все услуги соответствуют утвержденным стандартам качества. В опросе приняли участие 1712 человек.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Данные мероприятия  позволят обеспечить качественно новый уровень предоставляемых  бюдж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етных услуг при  условии эффективного использования ограниченных бюджетных средств,  повысить ответственность и самостоятельность  руководителей бюджетных учреждений;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-Постановление администрации  "Об утверждении порядка разработки,  реализации и оценки эф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фективности муниципальных программ Тонкинского муниципального района Нижегородской области" от 30.06.2017г. № 313.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 В результате отдел экономики и прогнозирования администрации  района проводит оценку эффективности реализации каждой муниципальной программы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. Снижение или повышение эффективности  программы является основанием соответственно для уменьшения или увеличения в установленном бюджетным законодательством порядке средств  районного бюджета, выделяемых в очередном финансовом году и плановом периоде на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реализацию целевой программы.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</w:p>
              </w:tc>
            </w:tr>
            <w:tr w:rsidR="00000000" w:rsidRPr="00B05BF5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029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000000" w:rsidRPr="00B05BF5" w:rsidRDefault="00A943D3">
                  <w:pPr>
                    <w:rPr>
                      <w:lang w:val="ru-RU"/>
                    </w:rPr>
                  </w:pP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-Постановление администрации Тонкинского муниципального района "Об утверждении Порядка по раздельному планированию бюджетных ассигнований на исполнение действующих и принимаемых обязательств от 25.05.2009г. № 89 и Постановле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ние администрации Тонкинского муниципального района "Об утверждении Порядка планирования бюджетных ассигнований бюджета Тонкинского муниципального района" от 25.05.2009г. № 90. В результате принятый порядок улучшил систему формирования и уточнения базовых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объемов бюджетного финансирования для расчета объема бюджетных ассигнований на исполнение действующих расходных обязательств и определения перечня и параметров принимаемых обязательств по каждому субъекту бюджетного планирования на очередной финансовый год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 и плановый период с применением реестра расходных обязательств бюджета Тонкинского муниципального района, гарантированное финансовое обеспечение исполнения в полном объеме действующих расходных обязательств.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   -Постановление администрации Тонкинского мун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иципального района от  "Об утверждении порядка оценки бюджетной и социальной эффективности планируемых и реализуемых инвестиционных проектов" от 18.05.2009г. № 82. В результате установленная настоящим Порядком оценка эффективности инвестиционных проектов п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рименяется при отборе и мониторинге проектов для включения в районную адресную инвестиционную программу, применяется в рамках подготовки проекта районного бюджета на очередной финансовый год и среднесрочную перспективу. Публикация нормативно -правовых  акт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ов в СМИ в сфере инвестиций обеспечивает прозрачность принятия инвестиционных решений;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Постановление администрации Тонкинского муниципального района   "Об утверждении системы критериев, удовлетворение которым является основанием для досрочного прекращени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я (приостановления) реализации инвестиционных проектов" от 18.05.2009г. № 81 позволяет оптимизировать планирование и мониторинг реализации инвестиционных проектов, реализуемых за счет  бюджетных средств;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Постановление администрации Тонкинского муниципаль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ного района  «Об утверждении Правил принятия решений о подготовке и реализации бюджетных инвестиций в объекты муниципальной собственности Тонкинского муниципального района Нижегородской области не включенные в муниципальные программы» от 07.04.2014г № 175.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 В результате данное постановление позволило определить приоритеты и цели развития района исходя из прогнозов и программ социально-экономического развития, а также документов территориального планирования района.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  -Постановление администрации Тонкинского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муниципального района "Об утверждении Порядка запрета на предоставление и пролонгацию льгот по местным налогам при низкой оценке их финансовой эффективности" от 22.05.2009г. № 86. В результате льготы  по местным налогам предприятиям и организациям  Тонкинс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кого муниципального района не предоставлялись.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Льготы по налогообложению предоставлялись физическим лицам. Сумма   выпадающих доходов  в доходной части  бюджета за 2017 год составила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43,4 тыс. руб., в том числе: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lastRenderedPageBreak/>
                    <w:t xml:space="preserve">- по налогу на имущество физических лиц  - 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0,0 тыс. руб.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по земельному налогу  -  43,4 тыс. руб.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Ожидаемая оценка выпадающих доходов в 2018 году составляет 55,6 тыс. руб., в том числе: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по налогу на имущество физических лиц  -  0,0 тыс. руб.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по земельному налогу  -  55,6 тыс. руб.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    Дисконти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рованная бюджетная или социальная эффективность предоставляемых налоговых льгот в расчетном периоде равна единице, поэтому налоговые льготы признаны эффективными.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</w:p>
              </w:tc>
            </w:tr>
            <w:tr w:rsidR="00000000" w:rsidRPr="00B05BF5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029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000000" w:rsidRPr="00B05BF5" w:rsidRDefault="00A943D3">
                  <w:pPr>
                    <w:rPr>
                      <w:lang w:val="ru-RU"/>
                    </w:rPr>
                  </w:pP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lastRenderedPageBreak/>
                    <w:t xml:space="preserve">   -Постановление администрации "Об утверждении методики расчета долговой нагрузки бюджета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с учетом действующих и планируемых к принятию долговых обязательств на среднесрочный период Тонкинского муниципального района и методик расчета объема возможного привлечения новых долговых обязательств с учетом их влияния на долговую нагрузку бюджета Тонки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нского муниципального района" от 18.05.2009г.  №  76. В результате принятых  мер по расчетам долговой нагрузке на бюджет Тонкинского муниципального района   соблюдены все требования бюджетного законодательства в рамках ограничения значений  таких показател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ей  как: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 - Предельный объем муниципального долга;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 -  Утвержденный на 2018 год объем расходов бюджета  Тонкинского муниципального района  на обслуживание муниципального долга;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размера дефицита  бюджета.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Просроченной  долговой задолженности нет.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      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- Постановление администрации « Об утверждении Плана мероприятий» от 20.08.2018г № 358. В результате, определен порядок взаимодействия субъектов бюджетного планирования по подготовке проекта на очередной финансовый год.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Постановление администрации «Об ут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верждении   Основных направлений бюджетной  и налоговой политики в Тонкинском муниципальном районе Нижегородской области на 2019 год и на плановый период 2020 и 2021 годов» от 02.10.2018 г № 425. Определена бюджетная политика, ориентированная на достижение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 стратегической цели – повышение качества жизни населения района за счет создания условий для обеспечения граждан рабочими местами и доступными и качественными бюджетными услугами. А также, определена налоговая  политика, ориентированная на обеспечение  по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ступления в консолидированный бюджет Тонкинского муниципального района Нижегородской области всех доходных источников в запланированных объемах, а также дополнительных доходов, в том числе за счет погашения налогоплательщиками задолженности по обязательным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 платежам в бюджет.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Постановление администрации «Об утверждении Порядка планирования бюджетных ассигнований районного бюджета на 2019 год и плановый период 2020 и 2021 годов»  от 02.10.2018г. № 427. Определено методическое обеспечение составления обосн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ований бюджетных ассигнований субъектов бюджетного планирования в проекте на очередной финансовый год.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-В соответствии с приказом Министерства финансов Нижегородской области от 08.08.2017 года № 142, Тонкинский муниципальный район отнесен к второй группе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муниципальных образований в зависимости от доли дотаций в собственных доходах на 2018 год. В результате Соглашение о мерах по повышению эффективности бюджетных средств и увеличению поступлений налоговых и неналоговых доходов бюджета Тонкинского муниципальн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ого района с Министерством финансов Нижегородской области в 2018 году не заключался.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Соглашение о мерах по повышению эффективности бюджетных средств и увеличению поступлений налоговых и неналоговых доходов бюджета Тонкинского муниципального района в 2019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 году от 03.10.2018 г. № 13-33/2019. В результате на 2019 год должны быть соблюдены требования бюджетного кодекса: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1. Размер дефицита бюджета  в 2019 году  не должен превышать 5 процентов утвержденного общего годового объема доходов бюджета без учета безво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змездных поступлений и НДФЛ по доп. нормативам;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2.  Предельный объем муниципального долга в 2019 году не должен превышать 50 процентов утвержденного  общего годового объема доходов бюджета района без учета безвозмездных поступлений и НДФЛ по доп. норматива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м;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3. Утвержденный на 2019 год объем расходов бюджета  Тонкинского муниципального района  на обслуживание муниципального долга не должен  превышать 15 процентов утвержденного объема расходов, без  расходов за счет субвенций из областного бюджета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</w:p>
              </w:tc>
            </w:tr>
            <w:tr w:rsidR="00000000" w:rsidRPr="00B05BF5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029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000000" w:rsidRPr="00B05BF5" w:rsidRDefault="00A943D3">
                  <w:pPr>
                    <w:rPr>
                      <w:lang w:val="ru-RU"/>
                    </w:rPr>
                  </w:pP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       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 2.2 Сведения о результатах деятельности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В течение 2018 года  продолжала проводиться работа по повышению квалификации и переподготовке специалистов. Всего прошли переподготовку 25 человек.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Штатная численность работников на 01.01.2019 года составила по ОМС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У 86,5 единиц, фактически замещено 81,5 единицы.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На 01.01.2019 года  балансовая стоимость имущества по сводному балансу  составила всего-307094155,92 рублей, остаточная стоимость- 208135666,08 руб, в том числе: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Балансовая стоимость основных средств  -950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93765,93руб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(Остаточная стоимость основных средств -16098416,53 руб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Стоимость материальных запасов   -2076878,95 руб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Вложения в нефинансовые активы   -337000руб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Балансовая стоимость иммущества казны        -203210070,32 руб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(Остаточная стоимость имущества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казны  -192037249,55 руб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Непроизведенные активы                                  -6 376 440,72 руб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Объем закупок в 2018 году в Тонкинском муниципальном районе  составил 151 974 560,77 рублей.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         В течении 2018 года проводились и мероприятия по улуч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шению состояния основных средств, а именно технический надзор за сохранностью объектов, текущий  ремонт и техническое обследование, реконструкция. Своевременность поступления материальных запасов отслеживается путем своевременной доставки их подотчетными л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ицами или контрагентами, проверка при доставке на предмет количества и качества.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</w:p>
              </w:tc>
            </w:tr>
          </w:tbl>
          <w:p w:rsidR="00000000" w:rsidRPr="00B05BF5" w:rsidRDefault="00A943D3">
            <w:pPr>
              <w:rPr>
                <w:lang w:val="ru-RU"/>
              </w:rPr>
            </w:pPr>
          </w:p>
        </w:tc>
        <w:tc>
          <w:tcPr>
            <w:tcW w:w="123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</w:tr>
    </w:tbl>
    <w:p w:rsidR="00000000" w:rsidRPr="00B05BF5" w:rsidRDefault="00A943D3">
      <w:pPr>
        <w:rPr>
          <w:lang w:val="ru-RU"/>
        </w:rPr>
      </w:pPr>
      <w:r w:rsidRPr="00B05BF5">
        <w:lastRenderedPageBreak/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"/>
        <w:gridCol w:w="10300"/>
        <w:gridCol w:w="11"/>
        <w:gridCol w:w="111"/>
      </w:tblGrid>
      <w:tr w:rsidR="00000000" w:rsidRPr="00B05B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"/>
        </w:trPr>
        <w:tc>
          <w:tcPr>
            <w:tcW w:w="167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10300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11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111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</w:tr>
      <w:tr w:rsidR="00B05BF5" w:rsidRPr="00B05BF5" w:rsidTr="00B05B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/>
        </w:trPr>
        <w:tc>
          <w:tcPr>
            <w:tcW w:w="167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10311" w:type="dxa"/>
            <w:gridSpan w:val="2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311"/>
            </w:tblGrid>
            <w:tr w:rsidR="00000000" w:rsidRPr="00B05BF5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285"/>
              </w:trPr>
              <w:tc>
                <w:tcPr>
                  <w:tcW w:w="1031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000000" w:rsidRPr="00B05BF5" w:rsidRDefault="00A943D3">
                  <w:pPr>
                    <w:jc w:val="center"/>
                    <w:rPr>
                      <w:lang w:val="ru-RU"/>
                    </w:rPr>
                  </w:pPr>
                  <w:r w:rsidRPr="00B05BF5">
                    <w:rPr>
                      <w:rFonts w:ascii="Arial" w:eastAsia="Arial" w:hAnsi="Arial"/>
                      <w:b/>
                      <w:color w:val="000000"/>
                      <w:sz w:val="18"/>
                      <w:lang w:val="ru-RU"/>
                    </w:rPr>
                    <w:t>Раздел 3. Анализ отчета об исполнении бюджета субъектом бюджетной отчетности</w:t>
                  </w:r>
                </w:p>
              </w:tc>
            </w:tr>
          </w:tbl>
          <w:p w:rsidR="00000000" w:rsidRPr="00B05BF5" w:rsidRDefault="00A943D3">
            <w:pPr>
              <w:rPr>
                <w:lang w:val="ru-RU"/>
              </w:rPr>
            </w:pPr>
          </w:p>
        </w:tc>
        <w:tc>
          <w:tcPr>
            <w:tcW w:w="111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</w:tr>
      <w:tr w:rsidR="00000000" w:rsidRPr="00B05B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"/>
        </w:trPr>
        <w:tc>
          <w:tcPr>
            <w:tcW w:w="167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10300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11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111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</w:tr>
      <w:tr w:rsidR="00000000" w:rsidRPr="00B05B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7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10300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280"/>
            </w:tblGrid>
            <w:tr w:rsidR="00000000" w:rsidRPr="00B05BF5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5"/>
              </w:trPr>
              <w:tc>
                <w:tcPr>
                  <w:tcW w:w="103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000000" w:rsidRPr="00B05BF5" w:rsidRDefault="00A943D3">
                  <w:pPr>
                    <w:rPr>
                      <w:lang w:val="ru-RU"/>
                    </w:rPr>
                  </w:pP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3. Анализ отчета об исполнении бюджета субъектом бюджетной отчетности.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3.1. Сведения об исполнении текстовых статей решения о бюджете.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Текстовые статьи решения Земского собрания Тонкинского муниципального района «О бюджете района на 2018 год» исполнены полностью.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3.2. Сведения об изменении бюджетной росписи.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В  течение 2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018 года районный бюджет уточнялся 5 раза. Вносились изменения в бюджетную роспись бюджетов 5 поселений 16 раз. Согласно внесения изменений в бюджетную роспись районного бюджета был уточнен остаток денежных средств на счете в сумму 5 436 863,71 руб., из ни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х        1 494 022,83 руб. целевых денежных средств; по бюджетам поселений были уточнены остатки денежных средств на счетах в сумме     4 876 310,68 руб., из них целевых денежных средств 0 руб..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3.3. Сведения об исполнении бюджета.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Сведения   об   исп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олнении консолидированного бюджета Тонкинского муниципального района приведены  в ф.0503364.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Доходы  консолидированного бюджета.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Уточненный план по доходам консолидированного бюджета на 2018 год составил 469 172 373,87 руб. За январь – декабрь 2018 года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 в консолидированный бюджет района поступило доходов в сумме                     474 016 785,64 руб., что составляет 100,03 % к уточненному годовому плану.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          Обеспеченность собственными доходами консолидированного бюджета в 2018 году составила 17,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3 %, что на 0,9 % ниже уровня 2017 года. Налоговых и неналоговых доходов поступило в сумме 82 131 599,64 руб., в том числе в районный бюджет – 59 672 554,59 руб. (72,7%) и бюджеты поселений – 22 459 045,05 руб. (27,3%), Наибольший удельный вес в структуре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налоговых и неналоговых доходов консолидированного бюджета составляет налог на доходы физических лиц – 69,49 %, что на 0,21 % ниже уровня 2017 года.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В полном объеме к уточненному плану 2018 года и выше поступили  :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Налоги на прибыль, доходы       -109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,22 %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- Акцизы                                                                                      - 100,01 %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Единый налог на вмененный доход для отдельных видов деятельности          – 100,25 %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-Единый сельскохозяйственный налог                      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            - 100,00 %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налоги на имущество        - 100,24 %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государственная пошлина        - 100,02 %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доходы от использования имущества     – 100,12 %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платежи при пользовании природными ресурсами   – 100,00 %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Доходы от оказания платных услуг (ра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бот)    – 100,00 %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- доходы от продажи материальных и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нематериальных активов       – 100,00 %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штрафы, санкции, возмещение ущерба      - 100,00 %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прочие неналоговые доходы                                             - 100,00%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Консолидированный бюджет р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айона не исполнен  по подгруппе доходов 202  - 99,9999% или на 220,23 руб. по причине отсутствия фактических расходов.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</w:p>
              </w:tc>
            </w:tr>
            <w:tr w:rsidR="00000000" w:rsidRPr="00B05BF5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5"/>
              </w:trPr>
              <w:tc>
                <w:tcPr>
                  <w:tcW w:w="103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000000" w:rsidRPr="00B05BF5" w:rsidRDefault="00A943D3">
                  <w:pPr>
                    <w:rPr>
                      <w:lang w:val="ru-RU"/>
                    </w:rPr>
                  </w:pP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Причинами по которым исполнение на отчетную дату не соответствует плановым показателям ( форма 464):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Причины отклонений фактических по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ступлений от плановых назначений по налоговым доходам  по консолидированному бюджету                                            Тонкинского муниципального района 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за 2018 год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кбк   000 1 01 02000 01 0000 110 «Налог на доходы физических лиц».       Исп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олнение составило 109,22 %   в связи с тем, что  фактический фонд оплаты труда сформировался выше прогнозного.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кбк 000 1 05 02000 02 0000 110 «Единый налог на вмененный доход для отдельных видов деятельности».  Исполнение составило 100,25 %  в связи с п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оступлением пений за несвоевременную уплату налогов. 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- кбк  000 1 06 01000 00 0000 110 «Налог на имущество физических лиц».    Исполнение составило 100,05 %   в связи с поступлением пеней за несвоевременную уплату налогов.  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- кбк  000 1 06 06000 00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0000 110 «Земельный налог».    Исполнение составило 100,29 %   в связи с поступлением пений за несвоевременную уплату налогов. 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кбк  000 1.08.00.00.0.00.0.000.000 «Государственная пошлина».    Исполнение составило 100,02 %   в связи с ростом количеств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а обращений граждан.  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Причины отклонений фактических поступлений от плановых назначений по неналоговым доходам  по консолидированному бюджету                                            Тонкинского муниципального района 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за 2018 год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- кбк   000 1 11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05013 13 0000 120 «Доходы, получаемые в виде арендной платы за земельные участки, государственная собственность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lastRenderedPageBreak/>
                    <w:t>на которые не разграничена и которые расположены в границах городских поселений, а также средства от продажи права на заключение договоров аренд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ы указанных земельных участков».       Исполнение составило 100,26 %   в связи с частичной предоплатой по договорам аренды земельных участков.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РАЗДЕЛ   202 :   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Субвенции на осуществление полномочий по организации проведения мероприятий по предупрежде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нию и ликвидации болезней животных, их лечению, защите населения от болезней животных, регулирование численности безнадзорных животных. Исполнение составило – 99,68 %  в связи с  отсутствием фактических расходов;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      Прогнозная оценка Минфина на 2018 го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д  по собственным доходам консолидированного бюджета исполнена на  113 %.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 По сравнению с 2017 годом объем бюджета по доходам возрос на        15,2 % или на 62 588 555,1 руб. Объем собственных доходов бюджета увеличился на 113 %  или на 7 913 362,95 руб.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Причины отклонений исполнения бюджета по статьям расходов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( форма 464):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По отдельным показателям, по которым исполнение составило менее 90 процентов от  годовых назначений, причины неисполнения следующие: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По подразделу 0111 остался неизрасходованный ос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таток резервного фонда в сумме 790 574,23 руб.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По подразделу 0409 (процент исполнения 84,64%).  Остаток ассигнований сложился в связи с благоприятными погодными условиями в конце года. Не были полностью освоены ассигнования, предусмотренные на расчистку до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рог от снега в муниципальном дорожном фонде.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 По подразделу 0503 (процент исполнения 90,71%) в конце года планировали приобрести автомашину в поселковую администрацию. В связи с длительностью проведения конкурсных процедур покупку отложили на начало 2019 г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ода.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</w:p>
              </w:tc>
            </w:tr>
            <w:tr w:rsidR="00000000" w:rsidRPr="00B05BF5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5"/>
              </w:trPr>
              <w:tc>
                <w:tcPr>
                  <w:tcW w:w="103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000000" w:rsidRPr="00B05BF5" w:rsidRDefault="00A943D3">
                  <w:pPr>
                    <w:rPr>
                      <w:lang w:val="ru-RU"/>
                    </w:rPr>
                  </w:pP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lastRenderedPageBreak/>
                    <w:t>Расходы консолидированного бюджета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Расходы консолидированного бюджета Тонкинского муниципального района в 2018 году исполнены в сумме 471 426 699,38 руб., что составило 99,0 % процентов к бюджетным назначениям   (475 985 548,26 руб.)   и     112 %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  к объему расходов  2017 года. Расходы увеличились в связи с привлечением бюджетных средств из бюджетов других уровней на строительство Тонкинской школы.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В структуре расходов наибольший объем занимают расходы на образование      - 59,1% ,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Национальная эк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ономика   - 9,0 %,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Общемуниципальные вопросы - 13,1 %,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Культура      - 8,7%.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Программные расходы составили 421 312 154,71 руб. 89,4% консолидированного бюджета. В 2017 году процент был 85,4%.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Субсидии на муниципальное задание составили 168 292 739,42 руб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. Все муниципальные задания исполнены на 100 %. Субсидии на иные цели составили 7 304 100,25 руб.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КВР Наименование КВР КФСР Наименование КФСР Ассигнования 2018 год Всего выбытий (бух.уч.) колличество услуг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Итого       175 626 582,15 175 596 839,67 417 275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,50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611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     168 292 739,42 168 292 739,42 417 275,50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611 Субсидии бюджетным учреждениям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на финансовое обеспечение государственного (муниципального) задания на оказание государственных (муниципальных) услуг (выполнение работ) 0505 Другие вопросы в области жилищно-коммунального хозяйства 924 727,00 924 727,00 0,50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611 Субсидии бюджетным учрежде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ниям на финансовое обеспечение государственного (муниципального) задания на оказание государственных (муниципальных) услуг (выполнение работ) 0701 Дошкольное образование 39 987 690,23 39 987 690,23 698,00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611 Субсидии бюджетным учреждениям на финансовое об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еспечение государственного (муниципального) задания на оказание государственных (муниципальных) услуг (выполнение работ) 0702 Общее образование 66 937 257,28 66 937 257,28 784,00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611 Субсидии бюджетным учреждениям на финансовое обеспечение государственного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 (муниципального) задания на оказание государственных (муниципальных) услуг (выполнение работ) 0703 Дополнительное образование детей 13 217 284,19 13 217 284,19 931,00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611 Субсидии бюджетным учреждениям на финансовое обеспечение государственного (муниципал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ьного) задания на оказание государственных (муниципальных) услуг (выполнение работ) 0707 Молодежная политика и оздоровление детей 1 420 332,72 1 420 332,72 627,00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611 Субсидии бюджетным учреждениям на финансовое обеспечение государственного (муниципального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) задания на оказание государственных (муниципальных) услуг (выполнение работ) 0709 Другие вопросы в области образования 9 611 620,00 9 611 620,00 10,00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611 Субсидии бюджетным учреждениям на финансовое обеспечение государственного (муниципального) задания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на оказание государственных (муниципальных) услуг (выполнение работ) 0801 Культура 33 810 019,00 33 810 019,00 414 070,00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611 Субсидии бюджетным учреждениям на финансовое обеспечение государственного (муниципального) задания на оказание государственных (му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ниципальных) услуг (выполнение работ) 1102 Массовый спорт 2 383 809,00 2 383 809,00 155,00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612 Субсидии бюджетным учреждениям на иные цели     7 333 842,73 7 304 100,25 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612 Субсидии бюджетным учреждениям на иные цели 0701 Дошкольное образование 1 844 575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,89 1 814 833,89 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612 Субсидии бюджетным учреждениям на иные цели 0702 Общее образование 3 420 797,00 3 420 796,52 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612 Субсидии бюджетным учреждениям на иные цели 0703 Дополнительное образование детей 388 048,00 388 048,00 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612 Субсидии бюджетным учреж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дениям на иные цели 0801 Культура 1 675 421,84 1 675 421,84 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612 Субсидии бюджетным учреждениям на иные цели 1102 Массовый спорт 5 000,00 5 000,00 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</w:p>
              </w:tc>
            </w:tr>
            <w:tr w:rsidR="00000000" w:rsidRPr="00B05BF5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5"/>
              </w:trPr>
              <w:tc>
                <w:tcPr>
                  <w:tcW w:w="103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000000" w:rsidRPr="00B05BF5" w:rsidRDefault="00A943D3">
                  <w:pPr>
                    <w:rPr>
                      <w:lang w:val="ru-RU"/>
                    </w:rPr>
                  </w:pP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Показатели качества находятся в пределах допустимых отклонений.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По разделу 01 Общегосударственные вопро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сы исполнение 61 725 490,99 руб., исполнение составило 98,7%. В объеме консолидированного бюджета данные расходы составляют 13,1%.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По подразделу 0103 Функционирование законодательных (представительных) органов государственной власти и представительных орга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нов муниципальных образований все расходы непрограммные.  Исполнены в сумме 2 427 748,54 руб. или 100% от плана. В составе расходов занимают 0,5%.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По подразделу 0104 Функционирование Правительства Российской Федерации, высших исполнительных органов государ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ственной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lastRenderedPageBreak/>
                    <w:t xml:space="preserve">власти субъектов Российской Федерации, местных администраций расходы составили 24 541 685,7 руб. или 100% к плану.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По данному подразделу финансировались три муниципальные программы. Программные расходы исполнены в сумме  643 900,0 руб.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Непрограм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мные расходы по подразделу составили 23 897 785,7 руб.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В составе расходов занимают 5,2%.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По подразделу 0105 Судебная система    все расходы непрограммные.  Исполнены в сумме 76 236,93 руб. или 100% от плана. В составе расходов занимают 0,00%.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По подраздел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у 0106 Обеспечение деятельности финансовых, налоговых и таможенных органов и органов финансового (финансово-бюджетного) надзора расходы составили 10 942 336,9 руб. или 100% к плану.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По данному подразделу финансировалась МП "Управление муниципальными финан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сами Тонкинского муниципального района Нижегородской области" и расходы по ней составили 2,3% от общей суммы расходов.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Непрограммных расходов не было.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По подразделу 0107 Обеспечение проведения выборов и референдумов  расходы исполнены в сумме 688, руб. или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 100% от плана. В составе расходов занимают 0,00%.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По данному подразделу финансировалась непрограммные расходы.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По подразделу 0111 Резервные фонды остался неиспользованный остаток ассигнований в сумме 790 574,23 рублей.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По подразделу 0113 Другие общегосуда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рственные вопросы расходы составили 23 736 794,52 руб. или 100,0% к плану.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По данному подразделу финансировались пять муниципальных программ. Программные расходы составили  5 953 634,1 руб.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Непрограммные расходы по подразделу составили 17 618 472,51 руб.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Расходов на муниципальное задание по данному разделу нет.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По разделу 02 Национальная оборона план составил  333 900,00 руб., расходы за счет средств субвенции на обеспечение поселений, входящих в состав муниципальных районов Нижегородской области, субве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нциями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 – непрограммные расходы. Исполнение 100%. В объеме консолидированного бюджета данные расходы составля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ют 0,1%.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По подразделу 0203 Мобилизационная и вневойсковая подготовка все расходы непрограммные.  Исполнены в сумме 333 900,00 руб. или 100% от плана. В составе 02 раздела занимают 100,00%.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Расходов на муниципальное задание по данному разделу нет.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По разд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елу 03 Национальная безопасность и правоохранительная деятельность расходы составили 10 687 024,45 руб., исполнение 100%. В объеме консолидированного бюджета данные расходы составляют 2,3 %.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По подразделу 0309 Защита населения и территории от чрезвычайных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ситуаций природного и техногенного характера, гражданская оборона расходы составили 3 362 509,90 руб. или 100% к плану. По данному подразделу финансировалась одна муниципальная программа. Расходы по программе " Обеспечение безопасности жизнедеятельности на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селения Тонкинского муниципального района Нижегородской области на 2018-2020 годы ". Непрограммных расходов не было. 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По подразделу 0310 Обеспечение пожарной безопасности расходы составили 7 324 514,55 руб. или 100% к плану.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По данному подразделу финанси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ровались пять сельские муниципальные программы " Комплексное развитие муниципального образования Тонкинского района Нижегородской области на 2018-2020 годы".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Непрограммных расходов по подразделу нет.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Расходов на муниципальное задание по данному разделу н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ет.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5"/>
              </w:trPr>
              <w:tc>
                <w:tcPr>
                  <w:tcW w:w="103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000000" w:rsidRDefault="00A943D3"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lastRenderedPageBreak/>
                    <w:t>По разделу 04 Национальная экономика расходы составили 42 443 341,09руб., исполнение 94,4 %. В объеме консолидированного бюджета данные расходы составляют 9,0%.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 По подразделу 0401 Общеэкономические вопросы расходы составили 230 975,71 руб. или 100%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к плану.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По данному подразделу финансировались две муниципальные программы: МП "Содействие занятости населения Тонкинского муниципального района Нижегородской области на 2018-2020 годы", МП "Управление муниципальными финансами Тонкинского муниципального ра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йона Нижегородской области".  Непрограммных расходов по данному подразделу нет.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По подразделу 0405  Сельское хозяйство и рыболовство расходы составили 24 475 240,46 руб. или 100% к плану.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По данному подразделу финансировались две муниципальные программы: М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П "Развитие агропромышленного комплекса Тонкинского муниципального района Нижегородской области" до 2020 года –                  24 415240,46 руб. и МП "Управление муниципальными финансами Тонкинского муниципального района Нижегородской области" – 60 000,0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 руб..  Непрограммных расходов по данному подразделу нет.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По подразделу 0406 Водное хозяйство расходы составили 120 000,0 руб. или 100,0% к плану. По данному подразделу финансировалась одна муниципальная программа МП "Обеспечение безопасности жизнедеятельн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ости населения Тонкинского муниципального района Нижегородской области на 2018-2020 годы". Непрограммных расходов по данному подразделу нет.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По подразделу 0409 Дорожное хозяйство расходы составили 13 785 417,57 руб. или 84,6% к плану.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По данному подразделу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 финансировалась одна муниципальная программа МП "Комплексное развитие муниципального образования Тонкинского района Нижегородской области на 2018-2020 годы" Непрограммных расходов по данному подразделу нет.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По подразделу 0410 Связь и информатика расходы с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оставили 536 255,6 руб. или 100,0% к плану.  По данному подразделу финансировалась одна муниципальная программа МП "Обеспечение безопасности жизнедеятельности населения Тонкинского муниципального района Нижегородской области на 2018-2020 годы". Непрограммн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ых расходов по данному подразделу нет.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По подразделу 0412 Другие вопросы в области национальной экономики расходы составили 3 295 451,75 руб. или 100% к плану.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По данному подразделу финансировались две муниципальные программы: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МП "Совершенствование социал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ьной и инженерной инфраструктуры Тонкинского муниципального района на 2018-2020 годы" расходы по ней составили 2 840 776,0руб.;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МП "Развитие предпринимательства Тонкинского муниципального района Нижегородской области" на 2018-2020 годы  . Расходы по програ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мме  составили 150 000,00 руб.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Непрограммные расходы составили 304 675,75 руб..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Расходов на муниципальное задание по данному разделу нет.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По разделу 05 Жилищно-коммунальное хозяйство план составил 16 712 424,24 руб., исполнено 15 672 854,63 руб., процент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 исполнения 93,8 %. В объеме консолидированного бюджета данные расходы составляют 3,3%.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 По подразделу 0501 Жилищное хозяйство расходы составили 1 727 733,9 руб. или 100,0% к плану.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По данному подразделу планировались расходы на реализацию двух муниципаль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ных программ МП "Обеспечение населения Тонкинского муниципального района Нижегородской области доступным и комфортным жильем на 2018-2021 годы" расходы составили 1 168 767,0руб. и МП "Комплексное развитие муниципального образования Тонкинского района Нижег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ородской области на 2018-2020 годы" расходы составили                   558 966,9 руб.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Непрограммные расходы по подразделу нет.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По подразделу 0502 Коммунальное хозяйство расходы составили 1 987 579,00 руб. или 100% к плану.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По данному подразделу финансиро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вались три муниципальные программы: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 МП "Совершенствование социальной и инженерной инфраструктуры Тонкинского муниципального района на 2018-2020 годы". Расходы по программе  составили 599 940,00 руб.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lastRenderedPageBreak/>
                    <w:t>МП "Управление муниципальными финансами Тонкинского мун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иципального района Нижегородской области". Расходы по программе  составили 202 635 ,0руб.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МП "Обеспечение безопасности жизнедеятельности населения Тонкинского муниципального района Нижегородской области на 2018-2020 годы". Расходы по программе  составили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185 004,0руб.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Непрограммных расходов по данному подразделу составили                  1 000 000,0руб..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По подразделу 0503 Благоустройство расходы составили 10 151 743,23 руб. или 90,7% к плану.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По данному подразделу финансировались три муниципальные про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граммы: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МП "Совершенствование социальной и инженерной инфраструктуры Тонкинского муниципального района на 2018-2020 годы" расходы по программе  составили 200 000,00 руб.;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5 муниципальные программы сельских поселений МП "Комплексное развитие муниципального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 образования Тонкинского района Нижегородской области на 2018-2020 годы" расходы составили  9 907 443,23руб. или 90,5% от запланированного.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МП "Управление муниципальными финансами Тонкинского муниципального района Нижегородской области" расходы по ней 44 3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00,0 руб. или 100%.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Непрограммных расходов по данному подразделу нет.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br/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5"/>
              </w:trPr>
              <w:tc>
                <w:tcPr>
                  <w:tcW w:w="103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000000" w:rsidRDefault="00A943D3"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lastRenderedPageBreak/>
                    <w:t>По подразделу 0505 Другие вопросы в области жилищно-коммунального хозяйства расходы составили 1 805 798,5 руб. или 100% к плану. По данному подразделу были только непрограммные расход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ы. 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 По данному подразделу предоставляется субсидия на выполнение муниципального задания одному бюджетному учреждению. Сумма субсидии составила 924 727,00 руб. Исполнение 100%. Муниципальное задание исполнено на 100% в объеме 0,507 кв. м.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По разделу 07 О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бразование расходы составили 278 637 271,38  руб. исполнение 100,0 %. В объеме консолидированного бюджета данные расходы составляют 59,1%.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По подразделу 0701 Дошкольное образование расходы составили 42 055 731,94 руб. или 99,9% к плану.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По данному подразд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елу финансировались две муниципальные программы :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МП "Развитие образования Тонкинского муниципального района Нижегородской области" расходы по ней 42 016 741,94руб. или 99,9 %;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МП "Управление муниципальными финансами Тонкинского муниципального района Нижег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ородской области" расходы по ней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38 990,0руб. или 99,9 %;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Субсидии на выполнение муниципальных заданий предоставлялись 6 бюджетным учреждениям, которыми оказано 698 услуг. Сумма субсидии составила 39 987 690,23руб.  Муниципальное задание исполнено на 100%.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 Сумма субсидии бюджетным учреждениям на иные цели составила                   1 814 833,89руб. или 98,4 % к плану.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По подразделу 0702 Общее образование расходы составили              201 485 455,25руб. или 100,0% к плану.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По данному подразделу финансирова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лись две муниципальные программы: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МП "Развитие образования Тонкинского муниципального района Нижегородской области", расходы по которой составили  201 453 455,25руб. или 100,0%.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МП "Управление муниципальными финансами Тонкинского муниципального района Ниже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городской области" расходы составили           32 000,00 руб. или 100%.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Непрограммных расходов по данному подразделу нет.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Субсидии на выполнение муниципальных заданий предоставлялись 6 бюджетным учреждениям, которыми оказано 784 услуг. Сумма субсидии сост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авила 66 937 257,28руб.Муниципальное задание исполнено на 100%.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Субсидии на иные цели составили 3 420 796,52 руб. Исполнение 100%.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Бюджетные инвестиции в объекты капитального строительства муниципальной собственности по отрасли составили 130 929 490,15 руб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По подразделу 0703 Дополнительное образование детей расходы составили 13 605 332,19руб. или 100% к плану.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По данному подразделу финансировались три муниципальные программы: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МП "Развитие образования Тонкинского муниципального района Нижегородской области"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, расходы по которой составили  8 003 696,19руб. или 100%.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МП "Развитие культуры Тонкинского муниципального района Нижегородской области на 2018-2020 годы" расходы составили                          5 580 476,0руб. или 100%.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МП "Управление муниципальными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финансами Тонкинского муниципального района Нижегородской области" расходы составили           21 160,00 руб. или 100%.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Непрограммных расходов по данному подразделу нет.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Субсидии на выполнение муниципальных заданий предоставлялись 4 бюджетным учреждениям,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 которыми оказано 931 услуга. Муниципальное задание исполнено на 100%.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Субсидии на иные цели составили 388 048,0руб. Исполнение 100%.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По подразделу 0707 Молодёжная политика и оздоровление детей расходы составили 2 348 383,0руб. или 100,0% к плану.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По данн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ому подразделу финансировалась одна муниципальная программа МП "Развитие образования Тонкинского муниципального района Нижегородской области".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Непрограммных расходов по данному подразделу нет.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Муниципальными учреждениями оказано 627 услуг. Муниципальное з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адание исполнено на 100%.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По подразделу 0709 Другие вопросы в области образования расходы составили 19 142 369,0руб. или 100% к плану.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По данному подразделу финансировались две муниципальные программы: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МП "Развитие образования Тонкинского муниципального ра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йона Нижегородской области" расходы прошли в сумме 19 132 459,0 руб. или 100% от плана;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МП "Профилактика правонарушений на территории Тонкинского муниципального района Нижегородской области на 2018-2020 годы" расходы составили  9 910,0руб.  или 100% от пла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на;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Непрограммных расходов по данному подразделу нет.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Субсидии на выполнение муниципальных заданий предоставлялись 1 бюджетному учреждению, которым оказано 10 услуг.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Муниципальное задание исполнено на 100%.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br/>
                  </w:r>
                </w:p>
              </w:tc>
            </w:tr>
            <w:tr w:rsidR="00000000" w:rsidRPr="00B05BF5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5"/>
              </w:trPr>
              <w:tc>
                <w:tcPr>
                  <w:tcW w:w="103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000000" w:rsidRPr="00B05BF5" w:rsidRDefault="00A943D3">
                  <w:pPr>
                    <w:rPr>
                      <w:lang w:val="ru-RU"/>
                    </w:rPr>
                  </w:pP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По разделу 08 Культура расходы составили 40 939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 624,58руб. исполнение 100 %. В объеме консолидированного бюджета данные расходы составляют 8,7%.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По подразделу 0801 Культура расходы составили 35 554 508,34руб.      исполнение 100 %.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По  данному подразделу финансировалось  две муниципальные программы :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 - МП "Развитие культуры Тонкинского муниципального района Нижегородской области на 2018-2020 годы" сумма расхода 35 539 508,34руб.  Расходы составили 100%.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МП "Управление муниципальными финансами Тонкинского муниципального района Нижегородской области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" сумма расхода 15 000,0руб.  Исполнение 100%.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Субсидии на выполнение муниципальных заданий предоставлялись 3 бюджетным учреждениям, которыми оказано 414 070 услуг.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lastRenderedPageBreak/>
                    <w:t>Муниципальное задание исполнено на 100%.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Субсидии на иные цели составили 1 675 421,84 руб.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Исполнение 100%.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По подразделу 0804 Другие вопросы в области культуры, кинематографии расходы составили 5 385 116,24 руб. исполнение 100 %.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По  данному подразделу финансировались  две муниципальных программы: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МП "Развитие культуры Тонкинского муниципал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ьного района Нижегородской области на 2018-2020 годы" сумма расхода 5 364 116,24руб.  Расходы составили 100%.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МП "Управление муниципальными финансами Тонкинского муниципального района Нижегородской области" сумма расхода 21 000,0руб.  Исполнение 100%.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Не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программных расходов не было.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По разделу 10 СОЦИАЛЬНАЯ ПОЛИТИКА расходы  составили      16 588 144,92 руб., исполнение  98,8%. В объеме консолидированного бюджета данные расходы составляют 3,5%.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По подразделу 1001 Пенсионное обеспечение расходы составил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и       3760846,51руб. исполнение 100 %. По  данному подразделу финансировалось  одна муниципальная программа "Социальная поддержка граждан Тонкинского муниципального района Нижегородской области на 2018-2020 годы". Непрограммных расходов не было.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По подр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азделу 1003 Социальное обеспечение населения расходы составили 8 696 178,07 руб. исполнение 100 %. По  данному подразделу финансировалось  три  муниципальные программы: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МП "Социальная поддержка граждан Тонкинского муниципального района Нижегородской обла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сти на 2018-2020 годы" сумма расхода               645 761,3руб.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- МП "Обеспечение населения Тонкинского муниципального района Нижегородской области доступным и комфортным жильем на 2018-2021 годы" сумма расхода 7 155 325,57руб.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-МП "Управление муниципал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ьными финансами Тонкинского муниципального района Нижегородской области" сумма расхода                 256 091,2руб.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Непрограммные расходы по подразделу составили 639 000,0руб.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По подразделу 1004 Охрана семьи и детства расходы составили              4 13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1 120,34  руб. исполнение 95,5 %. По  данному подразделу финансировалось  две  муниципальные программы: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МП "Развитие образования Тонкинского муниципального района Нижегородской области" сумма расхода 910 840,34руб. Расходы составили 98,6 %.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МП "Обеспеч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ение населения Тонкинского муниципального района Нижегородской области доступным и комфортным жильем на 2018-2021 годы" сумма расхода 3 220 280,0руб. или 94,6%.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По разделу 11 ФИЗИЧЕСКАЯ КУЛЬТУРА И СПОРТ расходы были только по подразделу 1102 «Массовый спо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рт» и составили 2 388 809,0руб. или 100%.  В объеме консолидированного бюджета данные расходы составляют 0,5%.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По  данному подразделу финансировалось  две  муниципальные программы :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МП "Развитие физической культуры и спорта в Тонкинском муниципальном ра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йоне Нижегородской области на 2018-2020 годы" в сумме 2 383 809,0руб.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МП "Управление муниципальными финансами Тонкинского муниципального района Нижегородской области" сумма расхода  5 000,0 руб.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Расходы на муниципальное задание составили  2 383 809,0руб.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, расходы бюджетного учреждения на иные цели составили 5 000,0 руб. Оказано 155 муниципальных услуг. Муниципальное задание исполнено на 100%.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Непрограммных расходов не было.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5"/>
              </w:trPr>
              <w:tc>
                <w:tcPr>
                  <w:tcW w:w="103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000000" w:rsidRDefault="00A943D3"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lastRenderedPageBreak/>
                    <w:t xml:space="preserve">По разделу 12 «Средства массовой информации» расходы были только по подразделу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1202 «Периодическая печать и издательства» и составили 1 793 500,0 руб. исполнение 100 %. В объеме консолидированного бюджета данные расходы составляют 0,4%. По данному подразделу были только непрограммные расходы.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Субсидий на муниципальное задание не пре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доставлялось.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По разделу 13 «Обслуживание государственного внутреннего и муниципального долга» расходы были только по подразделу 1301 Обслуживание государственного внутреннего и муниципального долга и составили 6 638,34руб., исполнение к плану составило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100%. По данному подразделу были только непрограммные расходы.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Субсидий на муниципальное задание не предоставлялось.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По разделу 14 «Межбюджетные трансферты общего характера бюджетам субъектов Российской Федерации и муниципальных образований» расходы был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и по подразделу 1403 «Прочие межбюджетные трансферты общего характера» это расходы из бюджета поселения в областной бюджет в сумме 210 100,0 руб.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Исполнение 100% от плана.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br/>
                  </w:r>
                </w:p>
              </w:tc>
            </w:tr>
            <w:tr w:rsidR="00000000" w:rsidRPr="00B05BF5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5"/>
              </w:trPr>
              <w:tc>
                <w:tcPr>
                  <w:tcW w:w="103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000000" w:rsidRPr="00B05BF5" w:rsidRDefault="00A943D3">
                  <w:pPr>
                    <w:rPr>
                      <w:lang w:val="ru-RU"/>
                    </w:rPr>
                  </w:pP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Источники финансирования дефицита бюджета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Консолидированный бюджет района опреде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лен на 2018 год с дефицитом в размере 6 813 174,39 руб. за счет  остатков средств на счетах районного бюджета и бюджетов поселений на начало года в сумме                   10 313 174,39 руб. и суммы погашения бюджетных кредитов прошлых лет, полученных от д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ругих бюджетов бюджетной системы в размере 3 500 000,00 руб. . Утвержденный размер дефицита бюджета соответствует нормам установленным пункту 3 статьи 92.1 Бюджетного кодекса Российской Федерации.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 Исполнен бюджет 2018 года с профицитом в общей сумме  2 5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90 086,26 руб.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Из общей суммы остатка денежных средств, сложившейся на лицевых счетах бюджета района и поселений по состоянию на 01.01.2019 – 9 403 260,65 руб., 2,4 % или 226 506,66 руб. – целевые поступления из бюджетов других уровней и 97,6 % или 9 176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753,99 руб. - собственные средств бюджетов.  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Предоставление бюджетных кредитов юридическим лицам из бюджетов муниципальных образований в 2018 году не было.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Возврата выданных ранее бюджетных кредитов, бюджетам поселений из бюджета муниципального района в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2018 году не было.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Причинами, по которым исполнение на отчетную дату не соответствует плановым показателям ( форма 464):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КБК 000 00 00 00 00 00 0000 540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lastRenderedPageBreak/>
                    <w:br/>
                    <w:t>-  Необходимости в предоставлении бюджетных кредитов поселениям на временный кассовый разрыв н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е было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КБК 000 00 00 00 00 00 0000 640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Возврата бюджетных кредитов, предоставляемых другим бюджетам бюджетной системы не было, так как задолженности по выше указанным кредитам нет.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</w:p>
              </w:tc>
            </w:tr>
            <w:tr w:rsidR="00000000" w:rsidRPr="00B05BF5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5"/>
              </w:trPr>
              <w:tc>
                <w:tcPr>
                  <w:tcW w:w="103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000000" w:rsidRPr="00B05BF5" w:rsidRDefault="00A943D3">
                  <w:pPr>
                    <w:rPr>
                      <w:lang w:val="ru-RU"/>
                    </w:rPr>
                  </w:pP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lastRenderedPageBreak/>
                    <w:t>3.4. Сведения об исполнении мероприятий в рамках  программ.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В 2018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году в консолидированном бюджете программные расходы  составили  421 312 154,71 руб. или 89,4  % общих расходов консолидированного бюджета, что выше уровня 2017 года на  4,0 %. В 2018 году финансировались 15 муниципальных программ.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Расходы в разрезе муниц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ипальных программ за 2018 год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рублей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Наименование КЦСР План 2018 год Исполнено 2018 год % исполнения Структура,%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МП "Развитие образования Тонкинского муниципального района Нижегородской области" 273 908 177,86 273 865 575,72 99,98 58,12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МП "Социальная подд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ержка граждан Тонкинского муниципального района Нижегородской области на 2018-2020 годы" 4 597 607,81 4 597 607,81 100,00 0,98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МП "Обеспечение населения Тонкинского муниципального района Нижегородской области доступным и комфортным жильем на 2018-2021 годы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" 11 728 277,57 11 544 372,57 98,43 2,45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МП "Совершенствование социальной и инженерной инфраструктуры Тонкинского муниципального района на 2018-2020 годы" 3 640 716,00 3 640 716,00 100,00 0,77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МП "Содействие занятости населения Тонкинского муниципального р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айона Нижегородской области на 2018-2020 годы" 223 399,94 223 399,94 100,00 0,05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МП "Развитие культуры Тонкинского муниципального района Нижегородской области на 2018-2020 годы" 46 484 100,58 46 484 100,58 100,00 9,86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МП "Развитие физической культуры и спо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рта в Тонкинском муниципальном районе Нижегородской области на 2018-2020 годы" 2 383 809,00 2 383 809,00 100,00 0,51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МП "Развитие агропромышленного комплекса Тонкинского муниципального района Нижегородской области" до 2020 года 24 415 460,69 24 415 240,46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100,00 5,18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МП "Управление муниципальным имуществом Тонкинского муницпального района Нижегородской области" 3 069 823,60 3 069 823,60 100,00 0,65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МП "Управление муниципальными финансами Тонкинского муниципального района Нижегородской области" 14 750 508,45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 14 513 103,37 98,39 3,08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МП "Развитие предпринимательства Тонкинского муниципального района Нижегородской области" на 2018-2020 годы 150 000,00 150 000,00 100,00 0,03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МП " Обеспечение безопасности жизнедеятельности населения Тонкинского муниципального рай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она Нижегородской области на 2018-2020 годы 4 209 569,50 4 209 569,50 100,00 0,89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МП "Профилактика правонарушений на территории Тонкинского муниципального района Нижегородской области на 2018-2020 годы" 473 806,00 473 806,00 100,00 0,10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МП "Кадры Тонкинско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го муниципального района Нижегородской области" 164 687,91 164 687,91 100,00 0,03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МП "Комплексное развитие муниципального образования Тонкинского района Нижегородской области на 2018-2020 годы" 35 117 889,53 31 576 342,25 89,92 6,70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  425 317 834,44 421 31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2 154,71 99,06 89,41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Непрограммные расходы 50 457 613,82 49 904 444,67 98,90 10,59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Итого 475 775 448,26 471 216 599,38 99,04 100,00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</w:p>
              </w:tc>
            </w:tr>
            <w:tr w:rsidR="00000000" w:rsidRPr="00B05BF5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5"/>
              </w:trPr>
              <w:tc>
                <w:tcPr>
                  <w:tcW w:w="103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000000" w:rsidRPr="00B05BF5" w:rsidRDefault="00A943D3">
                  <w:pPr>
                    <w:rPr>
                      <w:lang w:val="ru-RU"/>
                    </w:rPr>
                  </w:pP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МП "Развитие образования Тонкинского муниципального района Нижегородской области"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Расходы по МП "Развитие образования То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нкинского муниципального района Нижегородской области" в 2018 году составили 273 865 475,72 рублей, процент исполнения 100,0 %. В общих расходах консолидированного бюджета расходы на программу составляют 58,09 %.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В рамках программы расходы направлены на: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Муниципальное задание в сумме 125 593 708,42рублей (исполнение 100 %), из них: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Дошкольное образование – 39 987 690,23 рублей, количество оказанных услуг «Реализация основных общеобразовательных программ дошкольного образования (ДОУ), Присмотр и уход (ДОУ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)» - 698 воспитанников.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Общее образование – 66 937 257,28 рублей, количество оказанных услуг «Реализация основных общеобразовательных программ дошкольного образования (школы), Присмотр и уход (школы), Реализация основных общеобразовательных программ нача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льного общего образования, Реализация основных общеобразовательных программ основного общего образования, Реализация основных общеобразовательных программ среднего общего образования» – 726 обучающихся (воспитанников).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- Дополнительное образование – 7 636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808,19 рублей, количество оказанных услуг «Реализация дополнительных общеразвивающих программ» – 465 обучающихся.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Молодежная политика и оздоровление детей -1 420 332,72 , количество оказанных услуг «Организация отдыха детей и молодежи» – 923 обучающихся.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Другие вопросы в области образования – 9 611 62 рублей количество оказанных услуг – 10 единиц.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Иные цели  в сумме  5 531 528,41рублей (исполнение 99,5 %), из них: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Дошкольное образование – 1 775 843,89 рублей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Общее образование – 3 388 796,52 рублей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 Дополнительное образование – 366 888 рублей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Бюджетные инвестиции в объекты капитального строительства в сумме 131 182 697,97 рублей (процент исполнения составил 100 %), из них: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- Дошкольное образование – 253 207,82 рублей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Общее образование – 130 929 49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0,15 рублей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Иные выплаты населению (мероприятия по организации отдыха и оздоровления) детей и молодежи в сумме 928 050,28 рублей, процент исполнения составил 100 %.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Пособия, компенсации, меры социальной поддержки по публичным нормативным обязательствам (за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 счет средств 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ю программу дошкольного образования, в том числе обеспечение организации выплаты компенсации части родительской платы) в сумме 910 840,34 рублей (процент исполнения составил 98,6 %)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lastRenderedPageBreak/>
                    <w:t>Расходы на обеспечение деятельности учебно-методических кабинетов, централ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изованных бухгалтерий в сумме 9 52 836,00 рублей (исполнение 100 %).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МП "Социальная поддержка граждан Тонкинского муниципального района Нижегородской области на 2018-2020 годы" Расходы по муниципальной программ в 2018 году составили 4 597 607,81руб., проц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ент исполнения 100 %. В общих расходах консолидированного бюджета расходы на программу составляют 0,98 %.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В рамках программы расходы направлены на: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Пособия, компенсации и иные социальные выплаты гражданам, кроме публичных нормативных обязательств (пенсии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за выслугу лет лицам, замещавшим муниципальные должности и должности муниципальной службы и материальная помощь) в сумме 3 760 846,51 рублей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Пособия, компенсации, меры социальной поддержки по публичным нормативным обязательствам (обеспечение мер социально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й поддержки "Почетный гражданин" (материальная помощь и подписка))  в сумме 139 300,22 рублей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Расходы на содержание органов местного самоуправления  (за счет средств субвенции на осуществление полномочий по организации и осуществлению деятельности по опеке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 и попечительству в отношении совершеннолетних граждан) в сумме 191 000,00 рублей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Расходы на мероприятия для граждан пожилого возраста и инвалидов в сумме 506 461,08 рублей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</w:p>
              </w:tc>
            </w:tr>
            <w:tr w:rsidR="00000000" w:rsidRPr="00B05BF5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5"/>
              </w:trPr>
              <w:tc>
                <w:tcPr>
                  <w:tcW w:w="103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000000" w:rsidRPr="00B05BF5" w:rsidRDefault="00A943D3">
                  <w:pPr>
                    <w:rPr>
                      <w:lang w:val="ru-RU"/>
                    </w:rPr>
                  </w:pP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lastRenderedPageBreak/>
                    <w:t>МП "Обеспечение населения Тонкинского муниципального района Нижегородской области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 доступным и комфортным жильем на 2018-2021 годы"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Расходы по МП "Обеспечение населения Тонкинского муниципального района Нижегородской области доступным и комфортным жильем на 2018-2021 годы" в 2018 году составили 11 544 372,57 руб., процент исполнения 98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,4 %. В общих расходах консолидированного бюджета расходы на программу составляют 2,45 %.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В рамках программы расходы направлены на: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Бюджетные инвестиции на приобретение объектов недвижимого имущества в муниципальную собственность на сумму 4 249 047,00 руб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лей, где  3 080 280 рублей (за счет субвенций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федерального и областного бюджета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), процент исполнения составил 95,0 % и 1 168 767 рублей  субсидии на обеспечение мероприятий по переселению граждан из аварийного жилищного фонда с учетом необходимости развития малоэтажного строительства.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Субсидии гражданам на приобретение жилья (социаль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ные выплаты молодым семьям на приобретение жилья или строительство индивидуального жилого дома, на обеспечение жильем отдельных категорий граждан, установленных Федеральным законом от 12.01.1995 года № 5-ФЗ "О ветеранах", в соответствии с Указом Президента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 РФ от 07.05.2008 № 714 "Об обеспечении жильем ветеранов ВОВ 1941-1945 годов") в сумме 7 150 932 рублей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Приобретение товаров, работ, услуг в пользу граждан в целях их социального обеспечения субвенции на проведение ремонта жилых помещений, собственниками к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оторых являются дети-сироты и дети, оставшиеся без попечения родителей, а также лица из числа детей сирот и детей. оставшихся без попечения родителей, либо жилых помещений государственного жилищного фонда, право на пользование которыми за ними сохранено, в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 целях обеспечения надлежащего санитарного и технического состояния этих жилых помещений  в сумме 140 000 рублей процент исполнения составил 96 %  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Пособия, компенсации и иные социальные выплаты гражданам, кроме публичных нормативных обязательств в сумме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4 393,57 рублей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МП "Совершенствование социальной и инженерной инфраструктуры Тонкинского муниципального района на 2018-2020 годы"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Расходы по МП "Совершенствование социальной и инженерной инфраструктуры Тонкинского муниципального района на 2018-2020 годы"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в 2018 году составили 3 640 716,0 рублей, процент исполнения 100 %. В общих расходах консолидированного бюджета расходы на программу составляют 0,77 %.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В рамках программы расходы направлены на: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Иные субсидии юридическим лицам .кроме некоммерческих организ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аций), индивидуальным предпринимателям, физическим лицам - производителям товаров, работ, услуг (мероприятия по благоустройству полигона твердых бытовых отходов) в сумме 200 000,00 рублей  и приобретение котла в сумме 99 940 рублей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Расходы на содержание о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рганов местного самоуправления - Отдела архитектуры и строительства администрации Тонкинского муниципального района Нижегородской области - в сумме 2 840 776 рублей и приобретение оборудования к котлу в сумме 500 000 рублей.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МП "Содействие занятости насел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ения Тонкинского муниципального района Нижегородской области на 2018-2020 годы"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Расходы по МП "Содействие занятости населения Тонкинского муниципального района Нижегородской области на 2018-2020 годы" в 2018 году составили 223 399,94 рублей, процент исполн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ения 100 %. В общих расходах консолидированного бюджета расходы на программу составляют 0,05 %.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В рамках программы расходы направлены на: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Мероприятия по организации оплачиваемых общественных работ в сумме 71 100 рублей.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Мероприятия по организации временно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й занятости несовершеннолетних граждан в возрасте от 14 до 18 лет в сумме  152 299,94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 рублей.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</w:p>
              </w:tc>
            </w:tr>
            <w:tr w:rsidR="00000000" w:rsidRPr="00B05BF5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5"/>
              </w:trPr>
              <w:tc>
                <w:tcPr>
                  <w:tcW w:w="103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000000" w:rsidRPr="00B05BF5" w:rsidRDefault="00A943D3">
                  <w:pPr>
                    <w:rPr>
                      <w:lang w:val="ru-RU"/>
                    </w:rPr>
                  </w:pP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МП "Развитие культуры Тонкинского муниципального района Нижегородской области на 2018-2020 годы"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Расходы по МП "Развитие культуры Тонкинского муниципального ра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йона Нижегородской области на 2018-2020 годы" в 2018 году составили    46 484 100,58рублей, процент исполнения 100 %. В общих расходах консолидированного бюджета расходы на программу составляют 9,86 %.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В рамках программы расходы направлены на: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Муниципальн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ое задание в сумме 39 390 495 рублей (исполнение 100 %), из них: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- Дополнительное образование – 5 580 476 рублей, количество оказанных услуг «Реализация дополнительных общеобразовательных  предпрофессиональных программ в области искусств (ДХШ, ДМШ)» – 119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обучающихся.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Культура – 33 810 019 рублей, в том числе: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Обеспечение деятельности библиотек – 10 271 107 рублей.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Количество оказанных услуг: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Библиотечное библиографическое и информационное обслуживание пользователей библиотеки - 63 693 посещений;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Фор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мирование, учет, изучение, обеспечение физического сохранения и безопасности фондов библиотек, включая оцифровку фондов 123 416 документов;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Библиографическая обработка документов и создание каталогов и безопасности фондов библиотек, включая оцифровку фон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дов – 18 425 документов;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Обеспечение деятельности музеев – 2 391 688 рублей.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Количество оказанных услуг: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Публичный показ музейных предметов, музейных коллекций – 9 600 посетителей;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Формирование, учет, изучение, обеспечение физического сохранения и без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опасности музейных предметов, музейных коллекций – 4 345 предметов;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Обеспечение деятельности клубных учреждений – 21 147 224 рублей.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Количество оказанных услуг: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lastRenderedPageBreak/>
                    <w:t>- Организация деятельности клубных формирований и формирований самодеятельного народного творч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ества – 139 клубных формирований;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Организация и проведение культурно-массовых мероприятий – 194 452 участников.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Иные цели  в сумме 1 660 421,84 рублей (исполнение 100 %), из них: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МБУК «МЦКС», МБУК «МЦБС.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Иные выплаты населению (Денежное поощрение лучшему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 работнику учреждений культуры за счет средств субсидии на поддержку отрасли культуры из федерального и областного бюджета) в сумме 69 068,50 рублей.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Расходы на обеспечение деятельности учебно-методических кабинетов, централизованных бухгалтерий в сумме 4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634 836 рублей (исполнение 100 %).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Расходы на содержание органов местного самоуправления - Отдела культуры администрации Тонкинского муниципального района Нижегородской области - в сумме 729 280,24 рублей.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МП "Развитие физической культуры и спорта в Тонки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нском муниципальном районе Нижегородской области на 2018-2020 годы"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Расходы по данной программе составили  2 383 809,0руб. и составили 100% от плана. В общем объеме консолидированного бюджета расходы на реализацию программы составили 0,51%.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Субсидия на му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ниципальное задание предоставляется 1 бюджетному учреждению ФСК «Кристалл» и составляет 2 369 900 руб. Учреждением оказано 155 муниципальных услуг. Муниципальное задание исполнено на 100%.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МП "Развитие агропромышленного комплекса Тонкинского муниципальн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ого района Нижегородской области" до 2020 года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Расходы по данной программе составили 24 415 240,46 руб. и составили 100% от плана. В общем объеме консолидированного бюджета расходы на реализацию программы составили 5,18%.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В рамках  программы идут средства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  на: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содержание управления сельского хозяйства  3 544 800 руб.;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-субвенции на осуществление полномочий по организации проведения мероприятий по предупреждению и ликвидации болезней животных, их лечению, отлову и содержанию безнадзорных животных, защите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населения от болезней, общих для человека и животных, в части отлова и содержания безнадзорных животных 68 179,77 рублей.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МП "Управление муниципальным имуществом Тонкинского муниципального района Нижегородской области"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Расходы по данной программе составил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и 3 069 823,6руб. и составили 100% от плана. В общем объеме консолидированного бюджета расходы на реализацию программы составили 0,65%.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В рамках  программы идут средства  на содержание КУМИ и ЗР  2 349 508 руб. и другие мероприятия.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МП "Управление муницип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альными финансами Тонкинского муниципального района Нижегородской области"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Расходы по данной программе составили 14 513 103,37 руб. и составили 98,4% от плана. В общем объеме консолидированного бюджета расходы на реализацию программы составили 3,08%.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В ра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мках  программы идут средства  на: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- содержание Управления финансов  10 42 336,90 руб.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резервный фонд администрации Тонкинского муниципального района Нижегородской области  780 785,47руб. исполнение составило 76,7 %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и др. мероприятия.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</w:p>
              </w:tc>
            </w:tr>
            <w:tr w:rsidR="00000000" w:rsidRPr="00B05BF5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5"/>
              </w:trPr>
              <w:tc>
                <w:tcPr>
                  <w:tcW w:w="103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000000" w:rsidRPr="00B05BF5" w:rsidRDefault="00A943D3">
                  <w:pPr>
                    <w:rPr>
                      <w:lang w:val="ru-RU"/>
                    </w:rPr>
                  </w:pP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lastRenderedPageBreak/>
                    <w:t>МП "Развитие пре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дпринимательства Тонкинского муниципального района Нижегородской области" на 2018-2020 годы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Расходы по данной программе составили 150 000 руб. и составили 100% от плана. В общем объеме консолидированного бюджета расходы на реализацию программы составили 0,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03%. (Субсидия АНО «Тонкинский центр поддержки бизнеса»).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Кроме того был запланирован первоначально Грант предпринимателям в сумме 500 000 руб., но он не потрачен ввиду отсутствия фактических расходов.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МП " Обеспечение безопасности жизнедеятельности насе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ления Тонкинского муниципального района Нижегородской области на 2018-2020 годы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Расходы по данной программе составили 4 209 569,50 руб. и составили 100% от плана. В общем объеме консолидированного бюджета расходы на реализацию программы составили 0,89%.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В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 рамках  программы идут средства  на: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- содержание ЕДДС 3 358 313,90 руб.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резервный фонд администрации Тонкинского муниципального района Нижегородской области для предупреждения и ликвидации чрезвычайных ситуаций и последствий стихийных бедствий 300 000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 руб.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-субсидия на реконструкцию муниципального сегмента региональной автоматизированной системы центрального оповещения населения Нижегородской области 536 255,60 руб. и др. мероприятия.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МП "Профилактика правонарушений на территории Тонкинского муниципал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ьного района Нижегородской области на 2018-2020 годы"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Расходы по данной программе составили 473 806,0руб. и составили 100% от плана. В общем объеме консолидированного бюджета расходы на реализацию программы составили 0,1%.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В рамках  программы идут средств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а  на содержание главного специалиста по делам несовершеннолетних и расходы на мероприятия по профилактике правонарушений.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МП "Кадры Тонкинского муниципального района Нижегородской области"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Расходы по данной программе составили 164 687,91руб. и составили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100% от плана. В общем объеме консолидированного бюджета расходы на реализацию программы составили 0,03%.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В рамках  программы средства на реализацию мероприятий направлены по КВР на: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Закупку товаров, работ и услуг для обеспечения муниципальных нужд 164 6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87,91 руб.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5 Муниципальные  программы сельских поселений "Комплексное развитие муниципального образования Тонкинского района Нижегородской области на 2018-2020 годы"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Расходы по данным программам составили 31 576 342,25 руб. и составили 89,9% от плана. В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общем объеме консолидированного бюджета расходы на реализацию программы составили 6,7%.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3.5. Сведения о кассовом исполнении смет доходов и расходов по приносящей доход деятельности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В 2018 году в целях получения дополнительных источников финансирования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 осуществляли предпринимательскую деятельность и оказывали платные услуги только бюджетные учреждения района.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Расходов и доходов за счет средств, полученных от предпринимательской деятельности органами власти в 2018 году не было.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</w:p>
              </w:tc>
            </w:tr>
          </w:tbl>
          <w:p w:rsidR="00000000" w:rsidRPr="00B05BF5" w:rsidRDefault="00A943D3">
            <w:pPr>
              <w:rPr>
                <w:lang w:val="ru-RU"/>
              </w:rPr>
            </w:pPr>
          </w:p>
        </w:tc>
        <w:tc>
          <w:tcPr>
            <w:tcW w:w="11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111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</w:tr>
    </w:tbl>
    <w:p w:rsidR="00000000" w:rsidRPr="00B05BF5" w:rsidRDefault="00A943D3">
      <w:pPr>
        <w:rPr>
          <w:lang w:val="ru-RU"/>
        </w:rPr>
      </w:pPr>
      <w:r w:rsidRPr="00B05BF5">
        <w:lastRenderedPageBreak/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"/>
        <w:gridCol w:w="6"/>
        <w:gridCol w:w="10291"/>
        <w:gridCol w:w="113"/>
      </w:tblGrid>
      <w:tr w:rsidR="00000000" w:rsidRPr="00B05B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"/>
        </w:trPr>
        <w:tc>
          <w:tcPr>
            <w:tcW w:w="170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5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10291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113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</w:tr>
      <w:tr w:rsidR="00B05BF5" w:rsidRPr="00B05BF5" w:rsidTr="00B05B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/>
        </w:trPr>
        <w:tc>
          <w:tcPr>
            <w:tcW w:w="170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10296" w:type="dxa"/>
            <w:gridSpan w:val="2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297"/>
            </w:tblGrid>
            <w:tr w:rsidR="00000000" w:rsidRPr="00B05BF5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315"/>
              </w:trPr>
              <w:tc>
                <w:tcPr>
                  <w:tcW w:w="102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000000" w:rsidRPr="00B05BF5" w:rsidRDefault="00A943D3">
                  <w:pPr>
                    <w:jc w:val="center"/>
                    <w:rPr>
                      <w:lang w:val="ru-RU"/>
                    </w:rPr>
                  </w:pPr>
                  <w:r w:rsidRPr="00B05BF5">
                    <w:rPr>
                      <w:rFonts w:ascii="Arial" w:eastAsia="Arial" w:hAnsi="Arial"/>
                      <w:b/>
                      <w:color w:val="000000"/>
                      <w:sz w:val="18"/>
                      <w:lang w:val="ru-RU"/>
                    </w:rPr>
                    <w:t>Раздел 4. А</w:t>
                  </w:r>
                  <w:r w:rsidRPr="00B05BF5">
                    <w:rPr>
                      <w:rFonts w:ascii="Arial" w:eastAsia="Arial" w:hAnsi="Arial"/>
                      <w:b/>
                      <w:color w:val="000000"/>
                      <w:sz w:val="18"/>
                      <w:lang w:val="ru-RU"/>
                    </w:rPr>
                    <w:t>нализ показателей бухгалтерской отчетности субъекта бюджетной отчетности</w:t>
                  </w:r>
                </w:p>
              </w:tc>
            </w:tr>
          </w:tbl>
          <w:p w:rsidR="00000000" w:rsidRPr="00B05BF5" w:rsidRDefault="00A943D3">
            <w:pPr>
              <w:rPr>
                <w:lang w:val="ru-RU"/>
              </w:rPr>
            </w:pPr>
          </w:p>
        </w:tc>
        <w:tc>
          <w:tcPr>
            <w:tcW w:w="113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</w:tr>
      <w:tr w:rsidR="00000000" w:rsidRPr="00B05B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"/>
        </w:trPr>
        <w:tc>
          <w:tcPr>
            <w:tcW w:w="170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5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10291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113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0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5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10291" w:type="dxa"/>
            <w:hMerge w:val="restart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271"/>
            </w:tblGrid>
            <w:tr w:rsidR="00000000" w:rsidRPr="00B05BF5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54"/>
              </w:trPr>
              <w:tc>
                <w:tcPr>
                  <w:tcW w:w="103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000000" w:rsidRPr="00B05BF5" w:rsidRDefault="00A943D3">
                  <w:pPr>
                    <w:rPr>
                      <w:lang w:val="ru-RU"/>
                    </w:rPr>
                  </w:pP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4. Анализ показателей бухгалтерской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 отчётности субъекта бюджетной отчетности.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В целях характеристики показателей финансовой отчетности в составе пояснительной записки пр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едставлены: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формы 0503368 «Сведения о движении нефинансовых активов консолидированного бюджета» отдельно по показателям бюджетной и приносящей доход деятельности;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формы 0503369 «Сведения по дебиторской и кредиторской задолженности» отдельно по показателям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бюджетной и приносящей доход деятельности и по видам задолженности;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форма 0503371 «Сведения о финансовых вложениях»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форма 0503372 «Сведения о государственном (муниципальном) долге консолидированного бюджета»;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формы 0503373 «Сведения об изменении остатков в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алюты баланса консолидированного бюджета» отдельно по показателям бюджетной и приносящей доход деятельности;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форма 0503374 «Сведения о доходах консолидированного бюджета от перечисления части прибыли(дивидендов) ГУП (МУП),иных организаций с государственным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 участием в капитале.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форма 0503175 «Сведения о принятых и неисполненных обязательствах получателя бюджетных средств»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форма 0503190 «Сведения о вложениях в объекты недвижимого имущества, объектах незавершенного строительства.»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4.1. Сведения о движени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и нефинансовых активов консолидированного бюджета (ф.0503368)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 В течении 2018 года наблюдается увеличение стоимости нефинансовых активов (основных средств) на сумму 7038515,39 руб , в том числе: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       Увеличение стоимости основных средств наблюдается по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 сооружениям на сумму 1133552,39 рублей,  в том числе в связи с введением в эксплуатацию тротуаров по ул.Коммунистической р.п.Тонкино.              Увеличение  стоимости основных средств наблюдается  по машинам и оборудованию на сумму 977884,74 руб., в свя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зи  приобретением  Тонкинской поселковой администрацией сварочного аппарата бензопил, металлодетекторов во всех сельских поселениях, триммеров, косилки, отвала к трактору, щеточного оборудования.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         Увеличение по производственному и хозяйственному ин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вентарю на сумму 799296,63 руб  связано с приобретением мебели (столы ,кресла, стулья, шкафы),а так же в Поселковой администрации приобретены   комплекты новогодних гирлянд.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Увеличение вложений по транспортным средствам на 3981750,00 руб .связано с приобре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тением нового трактора МТЗ-82.1стоимостью1260800,00 руб, в Тонкинской поселковой администрации, а/машины  марки «КИА» в администрации Тонкинского муниципального района  на сумму1200900,00 руб, а/машины марки Лада Х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RAY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 стоимостью 686550,00 руб в Отделе арх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итектуры Тонкинского муниципального района.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 Уменьшение вложений в нефинансовые активы на сумму 2862919,04 руб связано с безвозмездной передачей транспортных средств бюджетным учреждениям района, списания вышедшего из строя компьютерного оборудования, мате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риалов.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Передача  в казну приобретенных квартир по программе дети-сироты и по программе переселения граждан из аварийного фонда на сумму 4249047,00 руб , оборудования в новый пристрой к школе на 16 учебных классов на сумму 54448373,37 руб, а так же самого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здания пристроя на сумму 250749060,58 руб в муниципальную собственность-нашло отражение в форме по Кт счета 106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В 2018 году согласно  локальных нормативных актов бюджетных учреждений на счет 10310 дооценки кадастровой стоимости  земельных участков не было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</w:p>
              </w:tc>
            </w:tr>
            <w:tr w:rsidR="00000000" w:rsidRPr="00B05BF5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54"/>
              </w:trPr>
              <w:tc>
                <w:tcPr>
                  <w:tcW w:w="103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000000" w:rsidRPr="00B05BF5" w:rsidRDefault="00A943D3">
                  <w:pPr>
                    <w:rPr>
                      <w:lang w:val="ru-RU"/>
                    </w:rPr>
                  </w:pP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4.2. Сведения по дебиторской и кредиторской задолженности (ф. 0503369)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Дебиторская задолженность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1) Бюджетная деятельность.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Общая сумма дебиторской задолженности по бюджетной деятельности по консолидированному бюджету на 01.01.2019 года составила -9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814740,64 руб. Просроченная дебиторская задолженность отсутствует.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 Наблюдается увеличение дебиторской  задолженности к уровню 2017 года 1.В связи с предоставлением администраторами доходов отчетов по начислению доходов по счету 20511 ,остаток по данному с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чету на 01.01.2019г сложился в сумме 2905121,83 руб, что на 350726,18руб больше уровня 2017 года.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2. В связи с введением с 01.01.2018 года федеральных стандартов по учету аренды земли и аренды имущества и  отражением  их в балансе  по счетам: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  счет      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         на 01.01.2018 г.                      на 01.01.2019г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 20521000         3823082,18                                 2832522,75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 20523000          5335517,95                                3693364,09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ИТОГО:             9158600,13                    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           6525886,84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На счете 120600000 «Расчеты по выданным авансам» отражена сумма 383731,97 рублей, в том числе: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на счете 1 20623000-299745,74  рублей- авансовые платежи за электроэнергию  ОАО «Нижегородской сбытовой компании»,основная доля авансовых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 платежей приходится на администрации муниципальных образований ..В связи с произведенной предоплатой учреждений авансовых платежей за электроэнергию дебиторская задолженность возросла на 170472,73 руб к уровню 2017 года.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  На счете 120834000-20398,42 -ава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нсовые платежи на проведение новогодних мероприятий, сумма осталась на уровне предыдущего года.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                            Кредиторская задолженность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1) Бюджетная деятельность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Кредиторская задолженность на 01.01.2019 года по бюджетной деятельности по к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онсолидированному бюджету отсутствует.  Наблюдается остаток по целевым деньгам по счету 20551000 в сумме 226506,66 руб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По счету 20511000- остаток задолженности согласно отчетов администраторов доходов в сумме 2434669,09 руб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В связи с введением с 01.01.2018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 года федеральных стандартов по учету аренды земли и аренды имущества и  отражением  их в балансе появились остатки на 01.01.2018г  по счетам: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lastRenderedPageBreak/>
                    <w:t xml:space="preserve">  счет                на 01.01.2018 г.                      на 01.01.2019г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 20521000         3823082,18         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                       2832522,75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 20523000          5335517,95                                3588524,78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ИТОГО:             9158600,13                                6421047,53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Просроченная кредиторская задолженность отсутствует.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На счете 1205 51 000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«» отражена сумма – 226506,66 рублей. Это сумма полученных, но  неиспользованных в 2018 году целевых средств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(областные и федеральные средства) Остатка по  целевым  федеральным средствам –нет, по областным-226506,66 руб,в том числе: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-Субвенции на ремонт жи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лья детям-сиротам в сумме 6440,00 рублей (в связи с отсутствием фактических расходов),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-субвенции на осуществление выплаты компенсации части родительской платы за присмотр и уход за ребенком в сумме 12859,66 руб. .( в связи с отсутствием фактических расхо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дов)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субвенции на исполнение полномочий по финансовому обеспечению осуществления присмотра и ухода за детьми-инвалидами, детьми-сиротами и детьми оставшимися без попечения родителей  29742,00 рублей.( в связи с отсутствием фактических расходов)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-субвенци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я на обеспечение детей-сирот и детей, оставшихся без попечения родителей жилыми помещениями в сумме 177465,00 рублей.( в связи с отсутствием фактических расходов)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4.3. Сведения о финансовых вложениях. ( форма 0503371)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Отражена сумма  266418409,42 рубле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й из баланса  по счету  020400000 «Финансовые вложения акции и иные формы участия в капитале» по коду 06 «участие в государственных муниципальных учреждениях»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В 2018 году согласно Постановления правительства Нижегородской области «Об утверждении результато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в определения  кадастровой стоимости земельных участков  в составе земель населенных пунктов Нижегородской области» №863 от 10.12.2014г бюджетными учреждениями района была продолжена работа по переоценке кадастровой стоимости принадлежащих им земельных уча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стков.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54"/>
              </w:trPr>
              <w:tc>
                <w:tcPr>
                  <w:tcW w:w="103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000000" w:rsidRDefault="00A943D3"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lastRenderedPageBreak/>
                    <w:t>4.4. Сведения о муниципальном долге консолидированного бюджета (ф. 0503372)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      Муниципальный долг на 01 января 2018 года  составил 7 000 000 рублей.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Данная задолженность образовалась в результате получения бюджетного кредита из областного бюдж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ета по соглашению №33/Д/1-2015 от 03 ноября 2015 года на частичное покрытие  дефицита бюджета в сумме 5000000 руб, со следующими сроками гашения: 16.12.2016г-1500000,18.12.2017 г-1500000,18.10.2018-2000000. И кредит полученный из областного бюджета по Согл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ашению №33/Д/1-2016 от 25 ноября 2016 г на частичное покрытие  дефицита бюджета  в сумме 5000000 руб со сроками гашения  18 декабря 2018 года-1500000, 18.ноября 2019 года-3500000 руб.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В 2018 году по сроку гашения 18.10.2018 г кредит в сумме 2 000 000руб бы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л погашен 16.10.2018г по п/п № 14597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По сроку гашения 18.12.2018 г кредит в сумме 1 500 000 руб был погашен  14.12.2018г по п/п №18181.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Остаток  задолженности по бюджетному кредиту на 01.01.2019г составил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 3500000 (Три миллиона пятьсот тысяч) руб,  что под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тверждено Актом сверки между Министерством финансов Нижегородской области и Администрацией Тонкинского муниципального района Нижегородской области.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         На 01.01.2019 года задолженности  по договорам о предоставлении муниципальных гарантий -нет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4.5.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 Сведения об изменении остатков валюты баланса консолидированного бюджета (форма 0503373)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В связи с применением с 01 января 2018 года Федерального стандарта бухгалтерского учета для организаций государственного сектора «Аренда»  (приказ МФ России от 31.01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.2016№258н), в форме 0503373 «Сведения об изменении остатков валюты баланса консолидированного бюджета» представлены изменения по разделам актива и пассива баланса на 01.01.2018г.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Расхождения по остаткам баланса на 01.01.2018 в активе баланса ф 430 стр 250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 на сумму 9158600,13 руб наблюдаются  в связи с появлением счетов 20521 и 20523(аренда земли и имущества), в пассиве баланса ф 430 на сумму 9158600,13 в связи с появлением счетов 40140121 и 40140123(доходы будущих периодов).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    4.6 Сведения о доходах к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онсолидированного бюджета от перечисления части прибыли(дивидендов) ГУП (МУП),иных организаций с государственным участием в капитале ( форма 0503374 )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Отражена сумма 259261,00руб  из формы 428 «Доходы бюджета» по коду дохода 11107015050000120,поступившая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 в бюджет района в сумме 229261,00 руб по п/п №286 от  15.06.2018г от  ИНН 5233002810 МУП Тонкинского района «Тонкинские теплосети»  и 30000,поступившая от МУП «Редакция газеты Красное Знамя» Тонкинского района ИНН 5233000524 по п/п№117от 15.06.2018на сумм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у27500,00 руб и пр п/п№125от 19.06.2018г на сумму 2500,00 руб.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4.7 «Сведения о принятых и неисполненных обязательствах получателя бюджетных средств» (форма 0503175)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Неисполненных обязательств по отношению к принятым –нет. Казенными учреждениями района пр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инято с применением конкурентных способов обязательств на сумму 151 974 560,77 рублей.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4.8 «Сведения о вложениях в объекты недвижимого имущества, объектах незавершенного строительства.»( форма 0503190)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В данной форме предоставлена информация по объектам с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троительства в 2018 году.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Объектом незавершенного строительства в Тонкинском муниципальном районе в 2018 году-строительство детского сада на 60 мест  в р.п.Тонкино –капвложения, произведенные в  данный объект составили 337000,00 руб.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Строительство пристроя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 к МБОУ «Тонкинская СОШ» на 16 классов в р.п.Тонкино со сметной стоимостью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255 613 642,40 руб, освоено  на 01.01.2019г.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br/>
                  </w:r>
                </w:p>
              </w:tc>
            </w:tr>
          </w:tbl>
          <w:p w:rsidR="00000000" w:rsidRDefault="00A943D3"/>
        </w:tc>
        <w:tc>
          <w:tcPr>
            <w:tcW w:w="113" w:type="dxa"/>
          </w:tcPr>
          <w:p w:rsidR="00000000" w:rsidRDefault="00A943D3">
            <w:pPr>
              <w:pStyle w:val="EmptyLayoutCell"/>
            </w:pPr>
          </w:p>
        </w:tc>
      </w:tr>
    </w:tbl>
    <w:p w:rsidR="00000000" w:rsidRDefault="00A943D3">
      <w:r>
        <w:lastRenderedPageBreak/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6"/>
        <w:gridCol w:w="21"/>
        <w:gridCol w:w="10252"/>
        <w:gridCol w:w="39"/>
        <w:gridCol w:w="1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"/>
        </w:trPr>
        <w:tc>
          <w:tcPr>
            <w:tcW w:w="176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21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10252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39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100" w:type="dxa"/>
          </w:tcPr>
          <w:p w:rsidR="00000000" w:rsidRDefault="00A943D3">
            <w:pPr>
              <w:pStyle w:val="EmptyLayoutCell"/>
            </w:pPr>
          </w:p>
        </w:tc>
      </w:tr>
      <w:tr w:rsidR="00000000" w:rsidRPr="00B05B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"/>
        </w:trPr>
        <w:tc>
          <w:tcPr>
            <w:tcW w:w="176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21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10252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252"/>
            </w:tblGrid>
            <w:tr w:rsidR="00000000" w:rsidRPr="00B05BF5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254"/>
              </w:trPr>
              <w:tc>
                <w:tcPr>
                  <w:tcW w:w="102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000000" w:rsidRPr="00B05BF5" w:rsidRDefault="00A943D3">
                  <w:pPr>
                    <w:jc w:val="center"/>
                    <w:rPr>
                      <w:lang w:val="ru-RU"/>
                    </w:rPr>
                  </w:pPr>
                  <w:r w:rsidRPr="00B05BF5">
                    <w:rPr>
                      <w:rFonts w:ascii="Arial" w:eastAsia="Arial" w:hAnsi="Arial"/>
                      <w:b/>
                      <w:color w:val="000000"/>
                      <w:sz w:val="18"/>
                      <w:lang w:val="ru-RU"/>
                    </w:rPr>
                    <w:t>Раздел 5. Прочие вопросы деятельности субъекта бюджетной отчетности</w:t>
                  </w:r>
                </w:p>
              </w:tc>
            </w:tr>
          </w:tbl>
          <w:p w:rsidR="00000000" w:rsidRPr="00B05BF5" w:rsidRDefault="00A943D3">
            <w:pPr>
              <w:rPr>
                <w:lang w:val="ru-RU"/>
              </w:rPr>
            </w:pPr>
          </w:p>
        </w:tc>
        <w:tc>
          <w:tcPr>
            <w:tcW w:w="39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100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</w:tr>
      <w:tr w:rsidR="00000000" w:rsidRPr="00B05B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"/>
        </w:trPr>
        <w:tc>
          <w:tcPr>
            <w:tcW w:w="176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21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10252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39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100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</w:tr>
      <w:tr w:rsidR="00B05BF5" w:rsidRPr="00B05BF5" w:rsidTr="00B05B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6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10312" w:type="dxa"/>
            <w:gridSpan w:val="3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292"/>
            </w:tblGrid>
            <w:tr w:rsidR="00000000" w:rsidRPr="00B05BF5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26"/>
              </w:trPr>
              <w:tc>
                <w:tcPr>
                  <w:tcW w:w="1031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000000" w:rsidRPr="00B05BF5" w:rsidRDefault="00A943D3">
                  <w:pPr>
                    <w:rPr>
                      <w:lang w:val="ru-RU"/>
                    </w:rPr>
                  </w:pP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5. Прочие вопросы деятельности субъекта б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юджетной отчётности.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5.1. Мероприятия по организации бюджетного учета в учреждениях.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Ведение бухгалтерского учета в учреждениях района в 2017 году осуществлялось с применением программного продукта 1С:Бухгалтерия  бюджетного учреждения 8 и программы КАМИН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: Расчет зарплаты Версия 3.5,согласно  приказов Минфина России от 01.12.2010г № 157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государственными внебюджетными фондами, Государственных академий наук государственных (муниципальных) учреждений, приказа МФ РФ от 12.10.2012г №134 «О внесении  изменений в приказ МФРФ от 01.12.2010г №157н», приказа МФ РФ № 162 от 06.12.2010г «Об утвержден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ии Плана счетов бюджетного учета и Инструкции по его применению и письма Минфина России от 29.12.2010г № 02-06-07/5396.»,Приказ МФРФ от 29,08.2014г «О внесении изменений в Приказ МФРФ от 01.12.2010г№157.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При составлении и предоставлении годовой отчетности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учреждения района руководствовались приказом Минфина России от 28.12.2010 г № 191н «Об утверждении Инструкции о порядке составления и предоставления годовой .квартальной и месячной отчетности об исполнении бюджетов бюджетной системы Российской Федерации» 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(с учетом изменений и дополнений) ,приказом МФ РФ  от 01 июля 2013 года № 65н « Об утверждении Указаний о порядке применения бюджетной классификации Российской Федерации. (с учетом изменений и дополнений) и внесенными в них изменения Приказами МФРФ.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В связ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и с применением с 01 января 2018 года следующих Федеральных стандартов бухгалтерского учеты для организаций государственного сектора  был осуществлен переход на: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-Концептуальные основы бухгалтерского учета и отчетности организаций государственного сектора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(Приказ МФ России от 31.01.2016№265н)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-Основные средства(приказ МФ России от 31.01.2016г №162н)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-Аренда(приказ МФ России от 31.01.2016г №258н)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-Обесценение активов (приказ МФ России от 31.01.2016№259н)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В связи с вступлением в силу с 08.05.2018г ряда приказ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ов Минфина России (№64н,65н,66н.67н) был осуществлен переход на новые положения учетной политики учреждений района. Переход предполагал проведение большой работы  по упразднению ряда аналитических бухгалтерских счетов, применение новых аналитических и синт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етических счетов, изменения назначения счетов, перенос входящих остатков на 01.01.2018г и оборотов за 2018 год.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В 2018 г проводились следующие мероприятия по организации бюджетного учета в учреждениях: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1. Главными распорядителями бюджетных средств провод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ились совещания и тематические семинары с главными бухгалтерами и руководителями подведомственных учреждений, направлялись информационные письма в муниципальные образования, руководителям подведомственных учреждений.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2. С целью своевременного и качественно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го представления бюджетной отчетности за 2018  год, ознакомлению с порядком завершения операций текущего финансового года сотрудниками управления финансов: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проведено 3 совещания с главными бухгалтерами бюджетных учреждений  муниципального района;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3. В це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лях оказания информационной и практической помощи специалистам и бухгалтерам бюджетных учреждений своевременно обновлялись бухгалтерские программы, на время составления и предоставления  годовой бухгалтерской отчетности была создана    группа из числа  бух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галтерских работников, которые давали консультации по составлению бухгалтерской отчетности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5.2  Сведения о результатах мероприятий внутреннего контроля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  В  учреждениях района проводятся  мероприятия внутреннего контроля :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-предварительный контроль за с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оставлением смет доходов и расходов их обоснование.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-текущий контроль: в результате  которого подвергаются проверке  соответствие сумм заключаемых договоров к уровню ранее  заключенных, наличие качества и количества приобретаемых ТМЦ.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-последующий контроль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-соблюдение порядка работы с денежной наличностью ,порядка ведения кассовых операций ,целевым использованием средств бюджета.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5.3        Сведения о проведении инвентаризаций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 Бюджетными учреждениями района в соответствии  с  приказом Минфина России от 13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.06.1995г за № 49, утвердившим методические указания по инвентаризации имущества и финансовых обязательств проводилась годовая инвентаризация, инвентаризация касс учреждений, бланков строгой отчетности, расчетов с контрагентами.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26"/>
              </w:trPr>
              <w:tc>
                <w:tcPr>
                  <w:tcW w:w="1031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000000" w:rsidRDefault="00A943D3"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5.4. Контрольная деятельн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ость Управления финансов администрации Тонкинского муниципального района в 2018 году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В соответствие с постановлением администрации  Тонкинского  муниципального района Нижегородской области  от 23.07.2014г. №391 на управление финансов возложены полномочия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по внутреннему муниципальному финансовому  контролю: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. внутренний муниципальный финансовый контроль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в.ч. по видам контроля: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1. Муниципальный финансовый контроль в сфере бюджетных правоотношений (ст. 265 БК РФ):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2. Муниципальный финансовый контроль в сфере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 закупок  (п.3 ч.1 ст.99 №44-ФЗ);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Муниципальный финансовый контроль в сфере бюджетных правоотношений (ст. 265 БК РФ), включает в себя: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1) Проверки соблюдения бюджетного законодательства Российской Федерации и иных  нормативных правовых актов,  регулирующих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 бюджетные правоотношения;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2) Проверки соблюдения бюджетного законодательства Российской Федерации и иных  нормативных правовых актов, регулирующих бюджетные правоотношения, при реализации муниципальных программ Тонкинского муниципального района Нижегородс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кой области, в объеме средств, выделенных объекту контроля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Муниципальный финансовый контроль в сфере закупок  (п.3 ч.1 ст.99 №44-ФЗ) включает в себя: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Проверки соблюдения законодательства о контрактной системе в сфере закупок  в соответствии в  части 8 ст.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 99 Федерального закона от 05.04.2013 №44-ФЗ «О контрактной системе в сфере закупок товаров, работ, услуг, для обеспечения государственных и муниципальных нужд»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В соответствие с постановлением администрации  Тонкинского  муниципального района Нижегородско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й области  от 22.05.2014г. №266 управление финансов администрации осуществляет: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II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. контроль в сфере закупок: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контроль за соблюдением законодательства о контрактной системе в сфере закупок на поставку товаров, выполнения работ, оказания услуг для нужд Тон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кинского муниципального района Нижегородской области: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lastRenderedPageBreak/>
                    <w:t>Проводятся проверки соблюдения законодательства о контрактной системе в сфере закупок  в соответствии с  частью 3 ст. 99 Федерального закона от 05.04.2013 №44-ФЗ «О контрактной системе в сфере закупок т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оваров, работ, услуг, для обеспечения государственных и муниципальных нужд».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        В соответствии с приказом Управления финансов  администрации  Тонкинского муниципального района Нижегородской области №69 от 30.12.2016г. «Об утверждении Порядка взаимоде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йствия Управления финансов Тонкинского муниципального района Нижегородской области с субъектами контроля, указанными в пункте 4 Правил осуществления контроля, предусмотренного частью 5 статьи 99 Федерального закона от 5 апреля 2013 года № 44-ФЗ «О контракт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ной системе в сфере закупок товаров, работ, услуг для обеспечения государственных и муниципальных нужд», утвержденных постановлением Правительства Российской Федерации от 12 декабря 2015 года № 1367»  управлением финансов производился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III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. казначейский кон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троль в сфере закупок: контроль за соблюдением законодательства о контрактной системе в сфере закупок  в соответствии с  частью 5 ст. 99 Федерального закона от 05.04.2013 №44-ФЗ «О контрактной системе в сфере закупок товаров, работ, услуг, для обеспечения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государственных и муниципальных нужд».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Результаты контрольной деятельности за 2018 год: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. ВНУТРЕННИЙ ФИНАНСОВЫЙ КОНТРОЛЬ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В рамках осуществления внутреннего финансового   контроля, в соответствие с планом  в    сфере бюджетных правоотношений  в 2018 году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 было проведено 18  контрольных мероприятий: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1. Муниципальный финансовый контроль в сфере бюджетных правоотношений (ст. 265 БК РФ)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1.1. Проверки соблюдения бюджетного законодательства Российской Федерации и иных  нормативных правовых актов,  регулирующих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бюджетные правоотношения;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Проверено 9 объектов контроля.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Общий объём проверенных сумм плановых назначений в 2018 году (охваченный проверяемый период  с 2015 – 2018 гг.) составил  241234377,25 руб.  их них: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средств федерального бюджета – 2439673,25 руб.;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- средств областного бюджета – 109008822,70 руб.;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средств местных бюджетов –  102205061,26 руб.;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средств  внебюджетных источников -  27580820,04 руб.;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Общий объём проверенных сумм финансирования в 2018 году (охваченный проверяемый период  с 2015 – 2018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 гг.) составил  219286133,57 руб.  их них: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средств федерального бюджета – 2439673,25 руб.;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средств областного бюджета – 99189916,02 руб.;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средств местных бюджетов –  92573534,17 руб.;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средств  внебюджетных источников -  25083010,13 руб.;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 Сумма выя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вленных финансовых нарушений  составили  5291766,21 руб. Данный показатель  составил 2,4% от общей суммы проверенного финансирования. 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Структура выявленных нарушений в разрезе источников финансирования сложилась следующим образом: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453767,80 руб. (или 8,6%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)  - нарушения со средствами  областного бюджета;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4501280,14 руб. (или 85,0%) - нарушения со средствами местных бюджетов;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336718,27руб. (или 6,4%)  - нарушения со средствами внебюджетных источников;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В соответствии с приказом Министерства финансов Нижегород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ской области от 19.03.2015 №84 «Об утверждении классификатора нарушений, выявляемых в ходе осуществления внутреннего государственного финансового контроля  и контроля в сфере закупок в Нижегородской области» (код нарушений - далее КН)  наибольший  удельный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 вес  в структуре  финансовых нарушений  занимают  такие виды нарушений как: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- иные нарушения учета и отчетности -   1800800,86 руб.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(34%);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br/>
                    <w:t>- прочие нарушения  -  107485,24  руб. (66%)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br/>
                  </w:r>
                </w:p>
              </w:tc>
            </w:tr>
            <w:tr w:rsidR="00000000" w:rsidRPr="00B05BF5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26"/>
              </w:trPr>
              <w:tc>
                <w:tcPr>
                  <w:tcW w:w="1031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000000" w:rsidRPr="00B05BF5" w:rsidRDefault="00A943D3">
                  <w:pPr>
                    <w:rPr>
                      <w:lang w:val="ru-RU"/>
                    </w:rPr>
                  </w:pP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lastRenderedPageBreak/>
                    <w:t>По итогам анализа проведенных контрольных мероприятий выявлены следую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щие нарушения: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Иные нарушения учета  и отчетности 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  Иные нарушения бухгалтерского учета и отчетности: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-  в нарушение   абз. 2 п. 167 Инструкции по применению Единого плана счетов бухгалтерского учета для органов государственной власти (государственных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органов), органов местного самоуправления, органов управления  государственными  внебюджетными фондами, государственных академий наук, государственных (муниципальных) учреждений, утвержденной Приказом Минфина России от 01.12.2010 прием в кассу учреждения 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наличных денежных средств от физических лиц (населения)  производился без применения   бланков строгой отчетности и/или без применения реестров сдачи документов от уполномоченного лица (форма 0504053);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 - в нарушение п.3 Положения об осуществлении наличны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х денежных расчетов и (или) расчетов с использованием платежных карт без применения контрольно-кассовой техники, утвержденного постановлением Правительства РФ от 06.05.2008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 359 (ред. от 15.04.2014) "О порядке осуществления наличных денежных расчетов и (и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ли) расчетов с использованием платежных карт без применения контрольно-кассовой техники"  в представленных на проверку  корешках квитанций по приему наличных денежных средств за оказанные платные услуги   отсутствовали    подписи заказчика об оплате;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- в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 нарушение п. 213 Инструкции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 157н,  пп. 6.3 п. 6 Указаний Банка России от 11.03.2014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 3210-У "О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едпринимательства"  не оформлялись письменные заявления работников на выдачу денежных средств в подотчет (или распорядительные документы организации (например, приказы руководителя) с  обоснованием и/или  расчетом  запрошенной суммы;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при списании матери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альных ценностей, приобретенных по КОСГУ 290 «Прочие расходы» для проведения мероприятий не были оформлены  акты на их списание, с подтверждением членов комиссии по списанию и выбытию материальных активов;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в нарушение п.6.3. Указание Банка России от 11.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03.2014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 3210-У (ред. от 19.06.2017) "О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предпринимательства" в проверяемом периоде допускалась перед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ача  подотчётных сумм, выданных на именную корпоративную карту по заявлениям на выдачу денежных средств в подотчет от одного лица  другим лицам учреждения; 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в нарушение  п.2.1. статьи 2 закона 54-ФЗ «О применении контрольно-кассовой техники при осущест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влении  наличных денежных расчетов и (или) расчетов с использованием электронных средств платежа» принимались к учету авансовые отчеты, в которых отсутствовали документы подтверждающие оплату товарно-материальных ценностей:  прикладывались лишь накладные н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а передачу ТМЦ,  которые являются подтверждающим документом на передачу товарно-материальных ценностей, а не  денежные расчеты;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lastRenderedPageBreak/>
                    <w:br/>
                    <w:t>- в нарушении п.2.1. ст. 2 Закона №54-ФЗ  принимались к оплате товарные чеки, у которых отсутствовали сведения: ИНН организации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, фамилия и инициалы продавца, дата выдачи документа;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- в  нарушение  п.38,41,45,99  Приказа  МФ России от 01.12.2010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 157н "Об утверждении Единого плана счетов бухгалтерского учета для органов государственной власти (государственных органов), органов ме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стного самоуправления, ... и Инструкции по его применению "Приказа МФ России от 01.12.2010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 157н…»  не была сформирована первоначальная стоимость  и не были поставлены на балансовый  и /или забалансовый учет приобретенные объекты основных средств и/или ма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териальных запасов; материальные запасы, приобретенные  для  вложения в объект нефинансового актива  были сразу списаны на расходы учреждения;   не были поставлены на учет материальные запасы и/или основные средства, изготовленные самим учреждением;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в н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арушении  п. 45 Приказа  МФ России от 01.12.2010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 157н на балансе учреждения  в составе основных средств  числятся объекты, не относящиеся к единицам учета основных средств, а являются их комплектующими частями и/или запасными частями к основному средству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-  в нарушении  п. 45 Приказа  МФ России от 01.12.2010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 157н на счете 101 «Основные средства» числится имущество стоимостью менее 3000 руб., которые должны быть списаны при вводе в эксплуатацию с балансового учета с одновременным отражением за балансом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 -  в нарушение требований п. 38,44, 99  Приказа  МФ России от 01.12.2010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 157  на счете 105 «Материальные запасы»  числится имущество, относящееся к основным средствам, срок эксплуатации которых более 1 года и стоимостью более 3000 руб.;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в нарушени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е п.36, п.37  Инструкции №174н  при списании мягкого  инвентаря в учреждении не был соблюден установленный порядок, в результате списания не были  оприходованы и сданы на склад материалы для дальнейшего использования – ветошь;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при   списании материальны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х запасов, приобретенных для выполнения ремонтных работ, не были приложены документы,  подтверждающих  их количественный расход (ведомости на отпуск  материалов,  акты о проведенных ремонтных работах с указанием  конкретных  видов проведенных работ, объемо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в данных работ  и натуральных показателей);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- в нарушение Приказа Минфина России от 30.03.2015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 52н "Об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применению" для учета рабочего времени в учреждении применяется устаревший бланк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 табеля учета рабочего времени;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</w:p>
              </w:tc>
            </w:tr>
            <w:tr w:rsidR="00000000" w:rsidRPr="00B05BF5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26"/>
              </w:trPr>
              <w:tc>
                <w:tcPr>
                  <w:tcW w:w="1031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000000" w:rsidRPr="00B05BF5" w:rsidRDefault="00A943D3">
                  <w:pPr>
                    <w:rPr>
                      <w:lang w:val="ru-RU"/>
                    </w:rPr>
                  </w:pP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lastRenderedPageBreak/>
                    <w:t xml:space="preserve">- в нарушении  раздела 2 приложения  5 Приказа МФ РФ №52н от 30.03.2015г. в учреждении не составлялся корректирующий Табель (ф. 0504421), при обнаружении факта не отражения отклонений или неполноты представленных сведений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об учете рабочего времени (представление работником листка нетрудоспособности)  и других документов, в том числе в связи с поздним представлением документов);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- в нарушение ч. 7 ст.9 Федерального закона от 06.12.2011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 402-ФЗ "О бухгалтерском учете" к уче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ту принимались табеля учета рабочего времени с неоговоренными исправлениями шариковой ручкой,  карандашом, штрихом,  исправленными, и/или неправильными  кодами условных обозначений  в показателях табелей;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выявлены случаи, когда у  сторожей в табеле учет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а рабочего времени  отмечалось время начала и окончания работы,  а не отработанные часы;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выявлены случаи, когда в табеле  учета рабочего времени сторожей полностью не заполнялись отработанные дни/часы,  а прикладывался только график их работы, который н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е является основанием для начисления заработной платы;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установлен неправильный подсчёт фактически предоставленных дней отпуска работнику,  который привел к двойной оплате: был начислен средний заработок и заработная плата;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- в ходе выборочной проверки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оформления инвентарных карточек учета основных средств установлены случаи, когда в нарушение Приказа Минфина России № 52н,  в инвентарных карточках учета основных средств (ф. 0504031) на оборотной стороне инвентарной карточки не заполнены: краткая индивиду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альная характеристика объекта, отсутствуют наименование признаков, характеризующих объект, перечень составляющих его предметов и его основные качественные и количественные показатели;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- в нарушение абц. 12 п.34 Приказа  МФ России от 01.12.2010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 157н "Об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утверждении Единого плана счетов бухгалтерского учета для органов государственной власти (государственных органов), органов местного самоуправления, ... и Инструкции по его применению "Приказа МФ России от 01.12.2010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 157н…»  не были приходованы  на балан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совый учет материальные запасы,  оставшиеся  после списания  объекта основных  средств;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установлены ошибки при формировании проводок на счет 0401.20. «Расходы текущего финансового года»  в части несоответствия аналитических кодов бюджетной классификации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  в номере счета рабочего плана счетов по классификационному признаку поступлений и выбытий, что привело к  случаям  несоответствия кассовых и фактических расходов в разрезе бюджетных  смет  и/или   КОСГУ;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в нарушение  п.11. Приказа МФ России от 01.12.2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010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 157н "Об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... и Инструкции по его применению", сводные учетные документы,  относящиеся к соответствующ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им журналам  операций не были  пронумерованы, не указано количество листов к папках (дела);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Нарушения порядка применения бюджетной классификации РФ: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- в нарушение  приказа МФ  РФ России от 01.07.2013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 65н "Об утверждении Указаний о порядке применения бюд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жетной классификации РФ" установлены случаи неправильного применения статей бюджетной классификации при осуществлении расходов;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Нарушение при проведении  инвентаризации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- в нарушение п.9 Приказа МФ России от 01.12.2010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 157н выявлено имущество, находящее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ся продолжительное время в нерабочем состоянии и  подлежащее списанию с балансового учета;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в  ходе проведения инвентаризации продуктов питания у материально-ответственного лица выявлены излишки продуктов питания;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</w:p>
              </w:tc>
            </w:tr>
            <w:tr w:rsidR="00000000" w:rsidRPr="00B05BF5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26"/>
              </w:trPr>
              <w:tc>
                <w:tcPr>
                  <w:tcW w:w="1031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000000" w:rsidRPr="00B05BF5" w:rsidRDefault="00A943D3">
                  <w:pPr>
                    <w:rPr>
                      <w:lang w:val="ru-RU"/>
                    </w:rPr>
                  </w:pP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lastRenderedPageBreak/>
                    <w:t>Прочие нарушения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в положение об опл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ате труда работников учреждения не вносились своевременно  изменения и дополнения,  в соответствии с вносимыми изменениями в районные положения об оплате труда работников муниципальных  учреждений;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в приказах на выплаты  материальной помощи и  разовых п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ремий работникам учреждения были указаны ссылки на несуществующие нормативные документы или неверные пункты положения об оплате труда работников;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в нарушение п.57 Трудового кодекса РФ в трудовых договорах работников, непедагогического состава, не пропис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аны все требуемые пункты, в соответствии с настоящим трудовым законодательством.  Установлены случаи, когда не  указывалась трудовая функция, т.е. работа по должности в соответствии со  штатным расписанием, объемы  ставок,  по совмещению должностей или   в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нутреннему совместительству.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- в нарушение ст. 60.2.  Трудового кодекса РФ размер доплаты  по совмещению должностей  у сотрудников  устанавливался не  по соглашению сторон трудового договора с учетом содержания и (или) объема дополнительной работы,  а  в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процентном отношении от оклада  работника по его основной должности. 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выявлена ошибка при расчете заработной платы работнику (установлена недоначисленная сумма заработной платы)  т.к. была неправильно выбрана норма рабочего времени;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- выявлена ошибка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при начислении денежной компенсации  на обеспечении книгоиздательской продукции педагогическим работникам учреждения, когда  производилось начисление  компенсации независимо от отработанного периода. Данная выплата  входит в минимальный оклад по должности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 педагогического работника, и она включается в расчет среднего заработка при расчете больничных,  отпускных и т.д.,  что привело к двойной оплате  данной компенсации;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были выплачены премии,  не предусмотренные положением об оплате труда работников учреж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дения;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были выплачены премии работникам, за дополнительную работу, не входящую в круг  должностных обязанностей;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работнику фактически не было не предоставлено 2 дня отпуска (в связи с отзывом, и ошибкой в дальнейшем подсчете  отгулянных дней);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 ра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ботнику были предоставлены дополнительные дни отпуска году, без правовых на то оснований, что привело также к  излишне начисленным отпускным;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- в нарушение п. 7 Федерального закона от 06.12.2011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 402-ФЗ  "О бухгалтерском учете"  установлены случаи, когда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 принимались к учету договора, у которых  не были заполнены  следующие обязательные реквизиты: дата заключения договоров, реквизиты сторон, подпись стороны;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- в нарушение  п.9  Федерального закона от 06.12.2011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 402-ФЗ  "О бухгалтерском учете"  установл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ены случаи, заключались договора, после факта  выполненных работ (оказанных услуг);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установлена  дебиторская задолженность по родительской плате по  выбывшим  из  детского сада воспитанникам;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установлена дебиторская задолженность  по родительской пла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те в размерах, превышающих  месячные начисления в  два  и более раза;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- установлена кредиторская задолженность по родительской плате по выбывшим воспитанникам   детского сада,   не возращенная родителям с 2016 года (остатки средств  материнского капитала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родителей);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в нарушение п.57 Трудового кодекса РФ в трудовых договорах работников, непедагогического состава, не прописаны все требуемые пункты, в соответствии с настоящим трудовым законодательством.  Установлены случаи, когда не указывалась трудовая фу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нкция, т.е. работа по должности в соответствии со  штатным расписанием, объемы  ставок,  по совмещению должностей или   внутреннему совместительству;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в нарушение  р.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III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  Приказа Министерства транспорта  РФ № от 18 сентября 2008 г.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 152 «Об утверждении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обязательных реквизитов и порядка заполнения путевых листов»  установлены случаи,  когда принимались  к учету путевые листы, у которых обязательные для заполнения  реквизиты не соответствовали данным первичных учетных документов:   не совпадают даты  факти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ческой заправки и даты в  путевых листов с заправленным ГСМ;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- представленные  на проверку учетные  политики учреждения не отражали  в полном объеме все требования  п.6  Приказа  МФ России от 01.12.2010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 157н "Об утверждении Единого плана счетов бухгалте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рского учета для органов государственной власти (государственных органов), органов местного самоуправления, ... и Инструкции по его применению ",  имеются ссылки на нормативные документы,  утратившие свою силу, не утверждены все  формы первичных учетных до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кументов, применяемых в учете.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в нарушении ГОСТа Р30-2003 «Унифицированные системы документации. Унифицированная система организационно-распорядительной документации. Требования к оформлению документов»  приказы  директора учреждения не были  прошнурова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ны (не сшиты) по годам,  листы не пронумерованы. Отсутствие данных требований не обеспечивает невозможность подмены и изъятия страниц из книг приказов;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</w:p>
              </w:tc>
            </w:tr>
            <w:tr w:rsidR="00000000" w:rsidRPr="00B05BF5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26"/>
              </w:trPr>
              <w:tc>
                <w:tcPr>
                  <w:tcW w:w="1031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000000" w:rsidRPr="00B05BF5" w:rsidRDefault="00A943D3">
                  <w:pPr>
                    <w:rPr>
                      <w:lang w:val="ru-RU"/>
                    </w:rPr>
                  </w:pP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1.2. Проверки соблюдения бюджетного законодательства Российской Федерации и иных  нормативных правовых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 актов, регулирующих бюджетные правоотношения, при реализации муниципальных программ Тонкинского муниципального района Нижегородской области.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В рамках данных проверок было  проверено расходование денежных средств  у  9 учреждений в объеме средств,  выделе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нных объектам  контроля при  реализации  7  муниципальных программ.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Общий объем израсходованных денежных средств учреждениям, по программным расходам,   подвергшихся  сплошной и/или выборочной проверками составил в проверяемый период с 2015-2018 годы соста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вил 180099045,07 руб.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Установлены  нарушения в общей сумме 3434612,98 руб. из них: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в нарушении  данных  принятых муниципальных программ   несвоевременно вносились и /или не вносились  корректировки мероприятий  муниципальных целевых программ  и объемы их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 финансирования, не были уточнены выделенные средства в сумме 246212,98 руб.;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в программе были запланированы объемы бюджетных ассигнований,  которые программными расходами не являются и   были  израсходованы  по  непрограммным расходам в сумме 3188400,00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 руб.;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lastRenderedPageBreak/>
                    <w:t xml:space="preserve">2. Муниципальный финансовый контроль в сфере закупок 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Проведено 10 проверок соблюдения законодательства о контрактной системе в сфере закупок  в соответствии в  части 8 ст. 99 Федерального закона от 05.04.2013 №44-ФЗ «О контрактной системе в сфере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 закупок товаров, работ, услуг, для обеспечения государственных и муниципальных нужд», которые предусматривают проведение контрольных мероприятий за: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- соблюдением требований к обоснованию закупок, предусмотренных  статьей 18  Федерального закона 44-ФЗ, и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обоснованности закупок;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-  соблюдением правил нормирования в сфере закупок,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обоснованием начальной (максимальной) цены контракта, цены контракта, заключаемого с единственным поставщиком (подрядчиком, исполнителем), включенной в план-график;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применение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м заказчиком мер ответственности и совершения иных действий в случае нарушения поставщиком (подрядчиком, исполнителем) условий контракта;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 соответствием  поставленного товара, выполненной работы (ее результата) или оказанной услуги условиям контракта;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-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 своевременности, полноты и достоверности отражения в документах учета поставленного товара, выполненной работы (ее результата) или оказанной услуги;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 соответствием  использования поставленного товара, выполненной работы (ее результата) или оказанной усл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уги целям осуществления закупки.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Выявленные нарушения: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в нарушение  ч. 3 ст.93 Закона №44-ФЗ заказчиком не были составлены документально оформленные отчеты с обоснованием невозможности или нецелесообразности  использования иных способов определения поста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вщика, а также  цену контракта и иные  существенные условия контрактов, заключенных по  п.п.14  п.1 ст. 93.  У заказчика должны быть документы, подтверждающие наличие  исключительных прав у издательства, при осуществлении закупки по данному основанию;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- в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нарушение федерального закона № 44-ФЗ (часть 3 статьи 94) в учреждениях  эксперт из числа работников не назначался, экспертиза поставленных товаров, выполненных работ, оказанных  проводилась визуально, лицом, подпись которого была указана в приемочных доку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ментах;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В  соответствии  с  п.5.1. Порядка осуществления управлением финансов администрации Тонкинского муниципального района Нижегородской области полномочий по внутреннему муниципальному финансовому контролю Управлением финансов были разработаны и напра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влены в проверяемые организации 8 обязательных для  исполнения, представлений  для принятия мер по устранению отмеченных в актах проверок нарушений и замечаний  и недопущению их впредь.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От руководителей проверенных объектов контроля получены 8 информаций о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 принятых мерах по устранению нарушений и недостатков, подтверждающие документы по устраненным нарушениям.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4684803,57 руб. (или 100%) от  сумм устраняемых нарушений  объектами контроля  было устранено в 2018 году.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          По итогам реализации материалов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ревизии 1 лицо – главный бухгалтер учреждения - привлечен к дисциплинарной ответственности (объявлено замечание), 3 лица привлечены к материальной ответственности по излишне выплаченной заработной плате;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</w:p>
              </w:tc>
            </w:tr>
            <w:tr w:rsidR="00000000" w:rsidRPr="00B05BF5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26"/>
              </w:trPr>
              <w:tc>
                <w:tcPr>
                  <w:tcW w:w="1031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000000" w:rsidRPr="00B05BF5" w:rsidRDefault="00A943D3">
                  <w:pPr>
                    <w:rPr>
                      <w:lang w:val="ru-RU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II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. КОНТРОЛЬ В СФЕРЕ ЗАКУПОК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Проверка соблюдения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законодательства о контрактной системе в сфере закупок  в соответствии с  частью 3 ст. 99 Федерального закона от 05.04.2013 №44-ФЗ «О контрактной системе в сфере закупок товаров, работ, услуг, для обеспечения государственных и муниципальных нужд».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В соотве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тствии с утвержденными поквартальными планами проверок по контролю за соблюдением законодательства о контрактной системе в сфере закупок товаров, работ, услуг на 2018 год, в целях совершенствования муниципальными заказчиками, бюджетными учреждениями (далее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 – заказчики) закупочной деятельности Управлением финансов администрации Тонкинского муниципального района Нижегородской области  проведены 9 (девять) плановых мероприятий контрольной деятельности по осуществлению  муниципального контроля за соблюдением  т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ребований 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По итогам анализа контрольных мероприятий в действиях заказчиков в 2018 году вы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явлены следующие нарушения: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Нарушения, связанные с организацией закупок товаров, работ, услуг: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К данному виду нарушений относятся: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несоблюдение требований по осуществлению закупок товаров, работ, услуг у субъектов малого предпринимательства и социально-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ориентированных некоммерческих организаций в установленном законом объеме не менее чем 15 процентов совокупного годового объема закупок (часть 1 статьи 30 Федерального закона № 44-ФЗ);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нарушение правил формирования контрактной службы или назначения контр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актного управляющего (отсутствие контрактного управляющего, отсутствие у  контрактного управляющего высшего образования или дополнительного профессионального образования в сфере закупок (статья 38 Федерального закона № 44-ФЗ);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 - несоблюдение  требований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к ведению реестра закупок, осуществленных   без заключения  государственных  или муниципальных контрактов (договоров); (нарушение ст.73 Бюджетного кодекса РФ);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Нарушения, связанные с планированием, обоснованием и нормированием закупок: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К данному виду нару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шений относятся: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- утверждение планов закупок с нарушением срока (часть 8 статьи 17 Федерального закона № 44-ФЗ);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- нарушение требований к содержанию плана закупок  (части 2, 4 статьи 17 Федерального закона № 44-ФЗ);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нарушение требований к форме и соде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ржанию планов-графиков (статья 21 Федерального закона № 44-ФЗ, постановление Правительства Нижегородской области от 20.12.2013 № 980).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- утверждение планов-графиков закупок с нарушением срока (часть 10 статьи 21 Федерального закона № 44-ФЗ);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Нарушения, с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вязанные с принятием решения о способе определения поставщика (подрядчика, исполнителя):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К данному виду нарушений относятся: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осуществление закупок товаров, работ, услуг «малого объема» без проведения конкурентных процедур у единственного поставщика (подр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ядчика, исполнителя) с превышением пределов годового объема закупок, установленных Федеральным законом № 44-ФЗ (пункты 4, 5 части 1 статьи 93 Федерального закона № 44-ФЗ);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заключение в рамках пунктов 4, 5  части 1 статьи 93 Федерального закона № 44-ФЗ «р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азовых» контрактов на поставку товаров, выполнение работ, оказание услуг с единственным поставщиком (подрядчиком, исполнителем) на суммы, превышающие 100 тысяч и 400 тысяч рублей соответственно (пункты 4 и 5 части 1 статьи 93 Федерального закона № 44-ФЗ);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- заключение контракта с единственным поставщиком (подрядчиком, исполнителем) в рамках статьи 93 Федерального закона № 44-ФЗ без проведения конкурентных процедур при отсутствии правовых оснований (часть 1 статьи 93 Федерального закона № 44-ФЗ);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Нарушения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при  приемке товаров, работ, услуг и оформлении результатов исполнения контракта.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К данному виду нарушений относятся: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- в нарушение федерального закона № 44-ФЗ (часть 3 статьи 94) в учреждениях  эксперт из числа работников не назначался,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lastRenderedPageBreak/>
                    <w:t>экспертиза поставл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енных товаров, выполненных работ, оказанных услуг  проводилась визуально лицом, подпись которого  указана в приемочных документах, актах выполненных работ (оказанных услуг).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 Нарушения, связанные с информационным обеспечением закупочной деятельности: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К да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нному виду нарушений относятся: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неразмещение или нарушение сроков размещения в единой информационной системе планов закупок и планов-графиков (часть 9 статьи 17, часть 15 статьи 21 Федерального закона № 44-ФЗ, пункт 2.8 постановления Правительства Нижего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родской области от 30.12.2013 № 1030);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- невнесение или нарушение сроков внесения изменений в планы-графики закупок при изменении потребности в товарах, работах, услугах (часть 15 статьи 21 Федерального закона № 44-ФЗ);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не размещение или нарушение срок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ов размещения в единой информационной системе в сфере закупок отчетов об исполнении контракта, иных документов, относящихся к закупке, размещение которых является обязательным в соответствии с законодательством о контрактной системе (часть 4 статьи 30, час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ть 2 статьи 63, часть 1 статьи 74, часть 8 статьи 78, часть 2 статьи 79, часть 2 статьи 93, часть 9 статьи 94, часть 12 статьи 95 Федерального закона № 44-ФЗ);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</w:p>
              </w:tc>
            </w:tr>
            <w:tr w:rsidR="00000000" w:rsidRPr="00B05BF5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26"/>
              </w:trPr>
              <w:tc>
                <w:tcPr>
                  <w:tcW w:w="1031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000000" w:rsidRPr="00B05BF5" w:rsidRDefault="00A943D3">
                  <w:pPr>
                    <w:rPr>
                      <w:lang w:val="ru-RU"/>
                    </w:rPr>
                  </w:pP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lastRenderedPageBreak/>
                    <w:t xml:space="preserve"> Нарушения, связанные с направлением информации и документов в уполномоченные органы: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К данном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у виду нарушений относятся: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ненаправление или нарушение срока направления для включения в реестр контрактов информации и документов о заключении, изменении, исполнении или о расторжении контракта (часть 3 статьи 103 Федерального закона № 44-ФЗ);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       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      По итогам проведенных проверок заказчикам выдано,  в  соответствии  с  п.5.1. Порядка осуществления управлением финансов администрации Тонкинского муниципального района Нижегородской области полномочий по контролю в сфере закупок товаров, работ, усл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уг,  9 (девять), обязательных для исполнения, предписаний  для принятия мер по устранению отмеченных в актах проверок нарушений и замечаний  и недопущению их впредь.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Все результаты проведенных контрольных мероприятий по каждому проверяемому объекту контро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ля были доложены главе администрации Тонкинского муниципального района. Также вся информация доведена до учредителей проверяемых учреждений.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III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. КАЗНАЧЕЙСКИЙ КОНТРОЛЬ: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проверки соблюдения законодательства о контрактной системе в сфере закупок  в соотве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тствии с частью 5 статьи 99 № 44-ФЗ «О контрактной системе в сфере закупок товаров, работ, услуг для обеспечения государственных и муниципальных нужд»: которые предусматривают проведение контрольных мероприятий: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1) за соответствием информации об объеме фин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ансового обеспечения, включенной в планы закупок, информации об объеме финансового обеспечения для осуществления закупок, утвержденном и доведенном до заказчика;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2) за соответствием информации об идентификационных кодах закупок и об объеме финансового обес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печения для осуществления данных закупок, содержащейся: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в планах-графиках, информации, содержащейся в планах закупок;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в извещениях об осуществлении закупок, в документации о закупках, информации, содержащейся в планах-графиках;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в протоколах определен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ия поставщиков (подрядчиков, исполнителей), информации, содержащейся в документации о закупках;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 в условиях проектов контрактов, направляемых участникам закупок, с которыми заключаются контракты, информации, содержащейся в протоколах определения поставщи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ков (подрядчиков, исполнителей);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-  в реестре контрактов, заключенных заказчиками, условиям контрактов.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          Управлением  финансов было  проверено 1088 документов, из них:   349 планов-закупок, 356 планов-графиков закупок, 142 извещений и документации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 о закупке, 23 протокола  определения поставщика (подрядчика, исполнителя), 218 информаций о контракте.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 Отказано в  уведомлении о соответствии контролируемой информации требованиям, установленным частью 5 статьи 99 Федерального закона от 5 апреля 2013 г.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 № 44-ФЗ "О контрактной системе в сфере закупок товаров, работ, услуг для обеспечения государственных и муниципальных нужд" по 97 поступившим в контрольный орган документам,  вследствие превышения сумм лимитов, отсутствия срока осуществления закупки и наим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енования объекта закупки.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Начальник управления финансов:     Е.В.Соловьева      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Начальник отдела планирования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>и анализа бюджета:                                                                  С.И. Вилкова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  <w:t xml:space="preserve">Начальник отдела учета, отчетности и 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Казначейского исполнения бюджета    Е.П. Горохова</w:t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  <w:r w:rsidRPr="00B05BF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br/>
                  </w:r>
                </w:p>
              </w:tc>
            </w:tr>
          </w:tbl>
          <w:p w:rsidR="00000000" w:rsidRPr="00B05BF5" w:rsidRDefault="00A943D3">
            <w:pPr>
              <w:rPr>
                <w:lang w:val="ru-RU"/>
              </w:rPr>
            </w:pPr>
          </w:p>
        </w:tc>
        <w:tc>
          <w:tcPr>
            <w:tcW w:w="100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</w:tr>
    </w:tbl>
    <w:p w:rsidR="00000000" w:rsidRPr="00B05BF5" w:rsidRDefault="00A943D3">
      <w:pPr>
        <w:rPr>
          <w:lang w:val="ru-RU"/>
        </w:rPr>
      </w:pPr>
      <w:r w:rsidRPr="00B05BF5">
        <w:lastRenderedPageBreak/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8"/>
        <w:gridCol w:w="6"/>
        <w:gridCol w:w="9"/>
        <w:gridCol w:w="4126"/>
        <w:gridCol w:w="11"/>
        <w:gridCol w:w="28"/>
        <w:gridCol w:w="2224"/>
        <w:gridCol w:w="11"/>
        <w:gridCol w:w="20"/>
        <w:gridCol w:w="7"/>
        <w:gridCol w:w="6"/>
        <w:gridCol w:w="6"/>
        <w:gridCol w:w="14"/>
        <w:gridCol w:w="40"/>
        <w:gridCol w:w="3662"/>
        <w:gridCol w:w="154"/>
        <w:gridCol w:w="37"/>
        <w:gridCol w:w="19"/>
        <w:gridCol w:w="23"/>
        <w:gridCol w:w="16"/>
        <w:gridCol w:w="25"/>
      </w:tblGrid>
      <w:tr w:rsidR="00000000" w:rsidRPr="00B05B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"/>
        </w:trPr>
        <w:tc>
          <w:tcPr>
            <w:tcW w:w="118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5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9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4126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11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28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2224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11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20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7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5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2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14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40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3662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154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37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19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23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16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25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</w:tr>
      <w:tr w:rsidR="00B05BF5" w:rsidRPr="00B05BF5" w:rsidTr="00B05B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"/>
        </w:trPr>
        <w:tc>
          <w:tcPr>
            <w:tcW w:w="118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5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9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4126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11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28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2224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11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20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7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5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3951" w:type="dxa"/>
            <w:gridSpan w:val="8"/>
            <w:vMerge w:val="restart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953"/>
            </w:tblGrid>
            <w:tr w:rsidR="00000000" w:rsidRPr="00B05BF5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3953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000000" w:rsidRPr="00B05BF5" w:rsidRDefault="00A943D3">
                  <w:pPr>
                    <w:rPr>
                      <w:lang w:val="ru-RU"/>
                    </w:rPr>
                  </w:pPr>
                </w:p>
              </w:tc>
            </w:tr>
          </w:tbl>
          <w:p w:rsidR="00000000" w:rsidRPr="00B05BF5" w:rsidRDefault="00A943D3">
            <w:pPr>
              <w:rPr>
                <w:lang w:val="ru-RU"/>
              </w:rPr>
            </w:pPr>
          </w:p>
        </w:tc>
        <w:tc>
          <w:tcPr>
            <w:tcW w:w="16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25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</w:tr>
      <w:tr w:rsidR="00B05BF5" w:rsidRPr="00B05BF5" w:rsidTr="00B05B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/>
        </w:trPr>
        <w:tc>
          <w:tcPr>
            <w:tcW w:w="118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4140" w:type="dxa"/>
            <w:gridSpan w:val="3"/>
            <w:vMerge w:val="restart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141"/>
            </w:tblGrid>
            <w:tr w:rsidR="00000000" w:rsidRPr="00B05BF5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2"/>
              </w:trPr>
              <w:tc>
                <w:tcPr>
                  <w:tcW w:w="4142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000000" w:rsidRPr="00B05BF5" w:rsidRDefault="00A943D3">
                  <w:pPr>
                    <w:rPr>
                      <w:lang w:val="ru-RU"/>
                    </w:rPr>
                  </w:pPr>
                </w:p>
              </w:tc>
            </w:tr>
          </w:tbl>
          <w:p w:rsidR="00000000" w:rsidRPr="00B05BF5" w:rsidRDefault="00A943D3">
            <w:pPr>
              <w:rPr>
                <w:lang w:val="ru-RU"/>
              </w:rPr>
            </w:pPr>
          </w:p>
        </w:tc>
        <w:tc>
          <w:tcPr>
            <w:tcW w:w="11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28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2224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11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20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7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5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3951" w:type="dxa"/>
            <w:gridSpan w:val="8"/>
            <w:vMerge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16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25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</w:tr>
      <w:tr w:rsidR="00B05BF5" w:rsidRPr="00B05BF5" w:rsidTr="00B05B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"/>
        </w:trPr>
        <w:tc>
          <w:tcPr>
            <w:tcW w:w="118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4140" w:type="dxa"/>
            <w:gridSpan w:val="3"/>
            <w:vMerge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11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28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2224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11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20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7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5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2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14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40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3662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154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37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19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23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16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25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</w:tr>
      <w:tr w:rsidR="00B05BF5" w:rsidTr="00B05B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"/>
        </w:trPr>
        <w:tc>
          <w:tcPr>
            <w:tcW w:w="118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5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9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4126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11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28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2224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11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20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7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5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2" w:type="dxa"/>
          </w:tcPr>
          <w:p w:rsidR="00000000" w:rsidRPr="00B05BF5" w:rsidRDefault="00A943D3">
            <w:pPr>
              <w:pStyle w:val="EmptyLayoutCell"/>
              <w:rPr>
                <w:lang w:val="ru-RU"/>
              </w:rPr>
            </w:pPr>
          </w:p>
        </w:tc>
        <w:tc>
          <w:tcPr>
            <w:tcW w:w="3907" w:type="dxa"/>
            <w:gridSpan w:val="5"/>
            <w:vMerge w:val="restart"/>
          </w:tcPr>
          <w:p w:rsidR="00000000" w:rsidRDefault="00A943D3"/>
        </w:tc>
        <w:tc>
          <w:tcPr>
            <w:tcW w:w="19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23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16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25" w:type="dxa"/>
          </w:tcPr>
          <w:p w:rsidR="00000000" w:rsidRDefault="00A943D3">
            <w:pPr>
              <w:pStyle w:val="EmptyLayoutCell"/>
            </w:pPr>
          </w:p>
        </w:tc>
      </w:tr>
      <w:tr w:rsidR="00B05BF5" w:rsidTr="00B05B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</w:trPr>
        <w:tc>
          <w:tcPr>
            <w:tcW w:w="118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5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9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4126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2263" w:type="dxa"/>
            <w:gridSpan w:val="3"/>
          </w:tcPr>
          <w:p w:rsidR="00000000" w:rsidRDefault="00A943D3"/>
        </w:tc>
        <w:tc>
          <w:tcPr>
            <w:tcW w:w="11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20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7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5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2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3907" w:type="dxa"/>
            <w:gridSpan w:val="5"/>
            <w:vMerge/>
          </w:tcPr>
          <w:p w:rsidR="00000000" w:rsidRDefault="00A943D3">
            <w:pPr>
              <w:pStyle w:val="EmptyLayoutCell"/>
            </w:pPr>
          </w:p>
        </w:tc>
        <w:tc>
          <w:tcPr>
            <w:tcW w:w="19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23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16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25" w:type="dxa"/>
          </w:tcPr>
          <w:p w:rsidR="00000000" w:rsidRDefault="00A943D3">
            <w:pPr>
              <w:pStyle w:val="EmptyLayoutCell"/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"/>
        </w:trPr>
        <w:tc>
          <w:tcPr>
            <w:tcW w:w="118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5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9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4126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11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28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2224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11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20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7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5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2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14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40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3662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154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37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19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23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16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25" w:type="dxa"/>
          </w:tcPr>
          <w:p w:rsidR="00000000" w:rsidRDefault="00A943D3">
            <w:pPr>
              <w:pStyle w:val="EmptyLayoutCell"/>
            </w:pPr>
          </w:p>
        </w:tc>
      </w:tr>
      <w:tr w:rsidR="00B05BF5" w:rsidTr="00B05B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18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5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9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4126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11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28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2224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11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20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7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5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2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14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3951" w:type="dxa"/>
            <w:gridSpan w:val="7"/>
            <w:vMerge w:val="restart"/>
          </w:tcPr>
          <w:p w:rsidR="00000000" w:rsidRDefault="00A943D3"/>
        </w:tc>
        <w:tc>
          <w:tcPr>
            <w:tcW w:w="25" w:type="dxa"/>
          </w:tcPr>
          <w:p w:rsidR="00000000" w:rsidRDefault="00A943D3">
            <w:pPr>
              <w:pStyle w:val="EmptyLayoutCell"/>
            </w:pPr>
          </w:p>
        </w:tc>
      </w:tr>
      <w:tr w:rsidR="00B05BF5" w:rsidTr="00B05B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/>
        </w:trPr>
        <w:tc>
          <w:tcPr>
            <w:tcW w:w="118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5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4135" w:type="dxa"/>
            <w:gridSpan w:val="2"/>
            <w:vMerge w:val="restart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135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4142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000000" w:rsidRDefault="00A943D3"/>
              </w:tc>
            </w:tr>
          </w:tbl>
          <w:p w:rsidR="00000000" w:rsidRDefault="00A943D3"/>
        </w:tc>
        <w:tc>
          <w:tcPr>
            <w:tcW w:w="11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28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2224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11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20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7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5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2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14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3951" w:type="dxa"/>
            <w:gridSpan w:val="7"/>
            <w:vMerge/>
          </w:tcPr>
          <w:p w:rsidR="00000000" w:rsidRDefault="00A943D3">
            <w:pPr>
              <w:pStyle w:val="EmptyLayoutCell"/>
            </w:pPr>
          </w:p>
        </w:tc>
        <w:tc>
          <w:tcPr>
            <w:tcW w:w="25" w:type="dxa"/>
          </w:tcPr>
          <w:p w:rsidR="00000000" w:rsidRDefault="00A943D3">
            <w:pPr>
              <w:pStyle w:val="EmptyLayoutCell"/>
            </w:pPr>
          </w:p>
        </w:tc>
      </w:tr>
      <w:tr w:rsidR="00B05BF5" w:rsidTr="00B05B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"/>
        </w:trPr>
        <w:tc>
          <w:tcPr>
            <w:tcW w:w="118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5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4135" w:type="dxa"/>
            <w:gridSpan w:val="2"/>
            <w:vMerge/>
          </w:tcPr>
          <w:p w:rsidR="00000000" w:rsidRDefault="00A943D3">
            <w:pPr>
              <w:pStyle w:val="EmptyLayoutCell"/>
            </w:pPr>
          </w:p>
        </w:tc>
        <w:tc>
          <w:tcPr>
            <w:tcW w:w="11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28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2262" w:type="dxa"/>
            <w:gridSpan w:val="4"/>
            <w:vMerge w:val="restart"/>
          </w:tcPr>
          <w:p w:rsidR="00000000" w:rsidRDefault="00A943D3"/>
        </w:tc>
        <w:tc>
          <w:tcPr>
            <w:tcW w:w="5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2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14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3951" w:type="dxa"/>
            <w:gridSpan w:val="7"/>
            <w:vMerge/>
          </w:tcPr>
          <w:p w:rsidR="00000000" w:rsidRDefault="00A943D3">
            <w:pPr>
              <w:pStyle w:val="EmptyLayoutCell"/>
            </w:pPr>
          </w:p>
        </w:tc>
        <w:tc>
          <w:tcPr>
            <w:tcW w:w="25" w:type="dxa"/>
          </w:tcPr>
          <w:p w:rsidR="00000000" w:rsidRDefault="00A943D3">
            <w:pPr>
              <w:pStyle w:val="EmptyLayoutCell"/>
            </w:pPr>
          </w:p>
        </w:tc>
      </w:tr>
      <w:tr w:rsidR="00B05BF5" w:rsidTr="00B05B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18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5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4135" w:type="dxa"/>
            <w:gridSpan w:val="2"/>
            <w:vMerge/>
          </w:tcPr>
          <w:p w:rsidR="00000000" w:rsidRDefault="00A943D3">
            <w:pPr>
              <w:pStyle w:val="EmptyLayoutCell"/>
            </w:pPr>
          </w:p>
        </w:tc>
        <w:tc>
          <w:tcPr>
            <w:tcW w:w="11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28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2262" w:type="dxa"/>
            <w:gridSpan w:val="4"/>
            <w:vMerge/>
          </w:tcPr>
          <w:p w:rsidR="00000000" w:rsidRDefault="00A943D3">
            <w:pPr>
              <w:pStyle w:val="EmptyLayoutCell"/>
            </w:pPr>
          </w:p>
        </w:tc>
        <w:tc>
          <w:tcPr>
            <w:tcW w:w="3877" w:type="dxa"/>
            <w:gridSpan w:val="6"/>
            <w:vMerge w:val="restart"/>
          </w:tcPr>
          <w:p w:rsidR="00000000" w:rsidRDefault="00A943D3"/>
        </w:tc>
        <w:tc>
          <w:tcPr>
            <w:tcW w:w="37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19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23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16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25" w:type="dxa"/>
          </w:tcPr>
          <w:p w:rsidR="00000000" w:rsidRDefault="00A943D3">
            <w:pPr>
              <w:pStyle w:val="EmptyLayoutCell"/>
            </w:pPr>
          </w:p>
        </w:tc>
      </w:tr>
      <w:tr w:rsidR="00B05BF5" w:rsidTr="00B05B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</w:trPr>
        <w:tc>
          <w:tcPr>
            <w:tcW w:w="118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5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9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4126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11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28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2262" w:type="dxa"/>
            <w:gridSpan w:val="4"/>
            <w:vMerge/>
          </w:tcPr>
          <w:p w:rsidR="00000000" w:rsidRDefault="00A943D3">
            <w:pPr>
              <w:pStyle w:val="EmptyLayoutCell"/>
            </w:pPr>
          </w:p>
        </w:tc>
        <w:tc>
          <w:tcPr>
            <w:tcW w:w="3877" w:type="dxa"/>
            <w:gridSpan w:val="6"/>
            <w:vMerge/>
          </w:tcPr>
          <w:p w:rsidR="00000000" w:rsidRDefault="00A943D3">
            <w:pPr>
              <w:pStyle w:val="EmptyLayoutCell"/>
            </w:pPr>
          </w:p>
        </w:tc>
        <w:tc>
          <w:tcPr>
            <w:tcW w:w="37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19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23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16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25" w:type="dxa"/>
          </w:tcPr>
          <w:p w:rsidR="00000000" w:rsidRDefault="00A943D3">
            <w:pPr>
              <w:pStyle w:val="EmptyLayoutCell"/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18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5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9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4126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11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28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2224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11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20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7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5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2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14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40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3662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154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37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19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23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16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25" w:type="dxa"/>
          </w:tcPr>
          <w:p w:rsidR="00000000" w:rsidRDefault="00A943D3">
            <w:pPr>
              <w:pStyle w:val="EmptyLayoutCell"/>
            </w:pPr>
          </w:p>
        </w:tc>
      </w:tr>
      <w:tr w:rsidR="00B05BF5" w:rsidTr="00B05B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"/>
        </w:trPr>
        <w:tc>
          <w:tcPr>
            <w:tcW w:w="118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5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9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4126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11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28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2224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11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20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3940" w:type="dxa"/>
            <w:gridSpan w:val="9"/>
            <w:vMerge w:val="restart"/>
          </w:tcPr>
          <w:p w:rsidR="00000000" w:rsidRDefault="00A943D3"/>
        </w:tc>
        <w:tc>
          <w:tcPr>
            <w:tcW w:w="23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16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25" w:type="dxa"/>
          </w:tcPr>
          <w:p w:rsidR="00000000" w:rsidRDefault="00A943D3">
            <w:pPr>
              <w:pStyle w:val="EmptyLayoutCell"/>
            </w:pPr>
          </w:p>
        </w:tc>
      </w:tr>
      <w:tr w:rsidR="00B05BF5" w:rsidTr="00B05B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/>
        </w:trPr>
        <w:tc>
          <w:tcPr>
            <w:tcW w:w="118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5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4135" w:type="dxa"/>
            <w:gridSpan w:val="2"/>
            <w:vMerge w:val="restart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135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4142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000000" w:rsidRDefault="00A943D3"/>
              </w:tc>
            </w:tr>
          </w:tbl>
          <w:p w:rsidR="00000000" w:rsidRDefault="00A943D3"/>
        </w:tc>
        <w:tc>
          <w:tcPr>
            <w:tcW w:w="11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28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2224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11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20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3940" w:type="dxa"/>
            <w:gridSpan w:val="9"/>
            <w:vMerge/>
          </w:tcPr>
          <w:p w:rsidR="00000000" w:rsidRDefault="00A943D3">
            <w:pPr>
              <w:pStyle w:val="EmptyLayoutCell"/>
            </w:pPr>
          </w:p>
        </w:tc>
        <w:tc>
          <w:tcPr>
            <w:tcW w:w="23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16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25" w:type="dxa"/>
          </w:tcPr>
          <w:p w:rsidR="00000000" w:rsidRDefault="00A943D3">
            <w:pPr>
              <w:pStyle w:val="EmptyLayoutCell"/>
            </w:pPr>
          </w:p>
        </w:tc>
      </w:tr>
      <w:tr w:rsidR="00B05BF5" w:rsidTr="00B05B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"/>
        </w:trPr>
        <w:tc>
          <w:tcPr>
            <w:tcW w:w="118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5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4135" w:type="dxa"/>
            <w:gridSpan w:val="2"/>
            <w:vMerge/>
          </w:tcPr>
          <w:p w:rsidR="00000000" w:rsidRDefault="00A943D3">
            <w:pPr>
              <w:pStyle w:val="EmptyLayoutCell"/>
            </w:pPr>
          </w:p>
        </w:tc>
        <w:tc>
          <w:tcPr>
            <w:tcW w:w="11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28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2224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11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20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7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5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2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14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40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3662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154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37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19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23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16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25" w:type="dxa"/>
          </w:tcPr>
          <w:p w:rsidR="00000000" w:rsidRDefault="00A943D3">
            <w:pPr>
              <w:pStyle w:val="EmptyLayoutCell"/>
            </w:pPr>
          </w:p>
        </w:tc>
      </w:tr>
      <w:tr w:rsidR="00B05BF5" w:rsidTr="00B05B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"/>
        </w:trPr>
        <w:tc>
          <w:tcPr>
            <w:tcW w:w="118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5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4135" w:type="dxa"/>
            <w:gridSpan w:val="2"/>
            <w:vMerge/>
          </w:tcPr>
          <w:p w:rsidR="00000000" w:rsidRDefault="00A943D3">
            <w:pPr>
              <w:pStyle w:val="EmptyLayoutCell"/>
            </w:pPr>
          </w:p>
        </w:tc>
        <w:tc>
          <w:tcPr>
            <w:tcW w:w="11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2263" w:type="dxa"/>
            <w:gridSpan w:val="3"/>
            <w:vMerge w:val="restart"/>
          </w:tcPr>
          <w:p w:rsidR="00000000" w:rsidRDefault="00A943D3"/>
        </w:tc>
        <w:tc>
          <w:tcPr>
            <w:tcW w:w="20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7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5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2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14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40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3662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154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37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19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23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16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25" w:type="dxa"/>
          </w:tcPr>
          <w:p w:rsidR="00000000" w:rsidRDefault="00A943D3">
            <w:pPr>
              <w:pStyle w:val="EmptyLayoutCell"/>
            </w:pPr>
          </w:p>
        </w:tc>
      </w:tr>
      <w:tr w:rsidR="00B05BF5" w:rsidTr="00B05B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"/>
        </w:trPr>
        <w:tc>
          <w:tcPr>
            <w:tcW w:w="118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5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9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4126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11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2263" w:type="dxa"/>
            <w:gridSpan w:val="3"/>
            <w:vMerge/>
          </w:tcPr>
          <w:p w:rsidR="00000000" w:rsidRDefault="00A943D3">
            <w:pPr>
              <w:pStyle w:val="EmptyLayoutCell"/>
            </w:pPr>
          </w:p>
        </w:tc>
        <w:tc>
          <w:tcPr>
            <w:tcW w:w="20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7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5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2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14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40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3662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154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37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19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23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16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25" w:type="dxa"/>
          </w:tcPr>
          <w:p w:rsidR="00000000" w:rsidRDefault="00A943D3">
            <w:pPr>
              <w:pStyle w:val="EmptyLayoutCell"/>
            </w:pPr>
          </w:p>
        </w:tc>
      </w:tr>
      <w:tr w:rsidR="00B05BF5" w:rsidTr="00B05B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18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5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9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4126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11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2263" w:type="dxa"/>
            <w:gridSpan w:val="3"/>
            <w:vMerge/>
          </w:tcPr>
          <w:p w:rsidR="00000000" w:rsidRDefault="00A943D3">
            <w:pPr>
              <w:pStyle w:val="EmptyLayoutCell"/>
            </w:pPr>
          </w:p>
        </w:tc>
        <w:tc>
          <w:tcPr>
            <w:tcW w:w="20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7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5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2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14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40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3936" w:type="dxa"/>
            <w:gridSpan w:val="7"/>
            <w:vMerge w:val="restart"/>
          </w:tcPr>
          <w:p w:rsidR="00000000" w:rsidRDefault="00A943D3"/>
        </w:tc>
      </w:tr>
      <w:tr w:rsidR="00B05BF5" w:rsidTr="00B05B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"/>
        </w:trPr>
        <w:tc>
          <w:tcPr>
            <w:tcW w:w="118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5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9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4126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11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28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2224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11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20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7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5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2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14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40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3936" w:type="dxa"/>
            <w:gridSpan w:val="7"/>
            <w:vMerge/>
          </w:tcPr>
          <w:p w:rsidR="00000000" w:rsidRDefault="00A943D3">
            <w:pPr>
              <w:pStyle w:val="EmptyLayoutCell"/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"/>
        </w:trPr>
        <w:tc>
          <w:tcPr>
            <w:tcW w:w="118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5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9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4126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11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28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2224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11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20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7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5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2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14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40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3662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154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37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19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23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16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25" w:type="dxa"/>
          </w:tcPr>
          <w:p w:rsidR="00000000" w:rsidRDefault="00A943D3">
            <w:pPr>
              <w:pStyle w:val="EmptyLayoutCell"/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/>
        </w:trPr>
        <w:tc>
          <w:tcPr>
            <w:tcW w:w="118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5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9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4126" w:type="dxa"/>
            <w:hMerge w:val="restart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126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293"/>
              </w:trPr>
              <w:tc>
                <w:tcPr>
                  <w:tcW w:w="4127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000000" w:rsidRDefault="00A943D3"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"______"    ________________   20 ___ г.</w:t>
                  </w:r>
                </w:p>
              </w:tc>
            </w:tr>
          </w:tbl>
          <w:p w:rsidR="00000000" w:rsidRDefault="00A943D3"/>
        </w:tc>
        <w:tc>
          <w:tcPr>
            <w:tcW w:w="11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28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2224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11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20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7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5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2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14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40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3662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154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37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19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23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16" w:type="dxa"/>
          </w:tcPr>
          <w:p w:rsidR="00000000" w:rsidRDefault="00A943D3">
            <w:pPr>
              <w:pStyle w:val="EmptyLayoutCell"/>
            </w:pPr>
          </w:p>
        </w:tc>
        <w:tc>
          <w:tcPr>
            <w:tcW w:w="25" w:type="dxa"/>
          </w:tcPr>
          <w:p w:rsidR="00000000" w:rsidRDefault="00A943D3">
            <w:pPr>
              <w:pStyle w:val="EmptyLayoutCell"/>
            </w:pPr>
          </w:p>
        </w:tc>
      </w:tr>
    </w:tbl>
    <w:p w:rsidR="00A943D3" w:rsidRDefault="00A943D3"/>
    <w:sectPr w:rsidR="00A943D3">
      <w:headerReference w:type="default" r:id="rId7"/>
      <w:footerReference w:type="default" r:id="rId8"/>
      <w:pgSz w:w="11911" w:h="16832"/>
      <w:pgMar w:top="566" w:right="566" w:bottom="566" w:left="566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43D3" w:rsidRDefault="00A943D3">
      <w:r>
        <w:separator/>
      </w:r>
    </w:p>
  </w:endnote>
  <w:endnote w:type="continuationSeparator" w:id="0">
    <w:p w:rsidR="00A943D3" w:rsidRDefault="00A94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43D3" w:rsidRDefault="00A943D3">
      <w:r>
        <w:separator/>
      </w:r>
    </w:p>
  </w:footnote>
  <w:footnote w:type="continuationSeparator" w:id="0">
    <w:p w:rsidR="00A943D3" w:rsidRDefault="00A943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BF5"/>
    <w:rsid w:val="00A943D3"/>
    <w:rsid w:val="00B05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US"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LayoutCell">
    <w:name w:val="EmptyLayoutCell"/>
    <w:basedOn w:val="a"/>
    <w:rPr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US"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LayoutCell">
    <w:name w:val="EmptyLayoutCell"/>
    <w:basedOn w:val="a"/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16880</Words>
  <Characters>96222</Characters>
  <Application>Microsoft Office Word</Application>
  <DocSecurity>0</DocSecurity>
  <Lines>801</Lines>
  <Paragraphs>225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SQLSRV2Основной_бланк_формы_460g__форма_460g__МНЦП_32033_Тонкинский_143c4f67493d415f893f638c197f38d1</vt:lpstr>
    </vt:vector>
  </TitlesOfParts>
  <Company/>
  <LinksUpToDate>false</LinksUpToDate>
  <CharactersWithSpaces>112877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SQLSRV2Основной_бланк_формы_460g__форма_460g__МНЦП_32033_Тонкинский_143c4f67493d415f893f638c197f38d1</dc:title>
  <dc:creator>Тарасова Татьяна Витальевна Финтех ©</dc:creator>
  <cp:lastModifiedBy>sisadmin</cp:lastModifiedBy>
  <cp:revision>2</cp:revision>
  <dcterms:created xsi:type="dcterms:W3CDTF">2020-04-02T08:16:00Z</dcterms:created>
  <dcterms:modified xsi:type="dcterms:W3CDTF">2020-04-02T08:16:00Z</dcterms:modified>
</cp:coreProperties>
</file>